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6F9" w:rsidRDefault="0033359F" w:rsidP="00C5773B">
      <w:pPr>
        <w:spacing w:after="0" w:line="240" w:lineRule="auto"/>
        <w:jc w:val="center"/>
        <w:rPr>
          <w:b/>
        </w:rPr>
      </w:pPr>
      <w:r w:rsidRPr="00F27FA9">
        <w:rPr>
          <w:b/>
        </w:rPr>
        <w:t xml:space="preserve">Trauma Informed practices (e.g. Trauma sensitive yoga) as adjunctive treatment options to drug treatment programs for </w:t>
      </w:r>
      <w:r w:rsidR="003C13A9">
        <w:rPr>
          <w:b/>
        </w:rPr>
        <w:t xml:space="preserve">youth at risk and </w:t>
      </w:r>
      <w:r w:rsidRPr="00F27FA9">
        <w:rPr>
          <w:b/>
        </w:rPr>
        <w:t>justice-involved youth</w:t>
      </w:r>
    </w:p>
    <w:p w:rsidR="0013650A" w:rsidRDefault="0013650A" w:rsidP="00A11F61">
      <w:pPr>
        <w:spacing w:after="0" w:line="240" w:lineRule="auto"/>
        <w:rPr>
          <w:b/>
        </w:rPr>
      </w:pPr>
    </w:p>
    <w:p w:rsidR="0013650A" w:rsidRDefault="0013650A" w:rsidP="0013650A">
      <w:pPr>
        <w:spacing w:after="0" w:line="240" w:lineRule="auto"/>
        <w:jc w:val="center"/>
        <w:rPr>
          <w:b/>
        </w:rPr>
      </w:pPr>
      <w:r>
        <w:rPr>
          <w:b/>
        </w:rPr>
        <w:t>Executive Summary</w:t>
      </w:r>
    </w:p>
    <w:p w:rsidR="0013650A" w:rsidRDefault="0013650A" w:rsidP="0013650A">
      <w:pPr>
        <w:spacing w:after="0" w:line="240" w:lineRule="auto"/>
        <w:jc w:val="center"/>
        <w:rPr>
          <w:b/>
        </w:rPr>
      </w:pPr>
    </w:p>
    <w:p w:rsidR="008E02BA" w:rsidRDefault="00C945B5" w:rsidP="00C945B5">
      <w:pPr>
        <w:autoSpaceDE w:val="0"/>
        <w:autoSpaceDN w:val="0"/>
        <w:adjustRightInd w:val="0"/>
        <w:spacing w:after="0" w:line="240" w:lineRule="auto"/>
        <w:rPr>
          <w:rFonts w:cs="Times New Roman"/>
        </w:rPr>
      </w:pPr>
      <w:r>
        <w:rPr>
          <w:rFonts w:cs="Times New Roman"/>
        </w:rPr>
        <w:t xml:space="preserve">Data from national and provincial surveys relating to adolescent health and substance use patterns </w:t>
      </w:r>
      <w:r w:rsidR="00C5773B">
        <w:rPr>
          <w:rFonts w:cs="Times New Roman"/>
        </w:rPr>
        <w:t xml:space="preserve">indicate that substance use is prevalent among Canadian youth. While </w:t>
      </w:r>
      <w:r w:rsidR="00F47037">
        <w:rPr>
          <w:rFonts w:cs="Times New Roman"/>
        </w:rPr>
        <w:t>experimenting with substances such as alcohol and marijuana is often considered part of adolescent risk taking, early onset of substance use (e.g., younger than 12 years of age)</w:t>
      </w:r>
      <w:r w:rsidR="00FF1E7B">
        <w:rPr>
          <w:rFonts w:cs="Times New Roman"/>
        </w:rPr>
        <w:t xml:space="preserve"> and </w:t>
      </w:r>
      <w:r w:rsidR="00F47037">
        <w:rPr>
          <w:rFonts w:cs="Times New Roman"/>
        </w:rPr>
        <w:t>frequent use of substances</w:t>
      </w:r>
      <w:r w:rsidR="003A3E9B">
        <w:rPr>
          <w:rFonts w:cs="Times New Roman"/>
        </w:rPr>
        <w:t xml:space="preserve"> (including substances such as cocaine, methamphetamines, or heroin)</w:t>
      </w:r>
      <w:r w:rsidR="00F47037">
        <w:rPr>
          <w:rFonts w:cs="Times New Roman"/>
        </w:rPr>
        <w:t xml:space="preserve"> put youth at a greater risk of developing early onset substance use disorders and</w:t>
      </w:r>
      <w:r w:rsidR="003A3E9B">
        <w:rPr>
          <w:rFonts w:cs="Times New Roman"/>
        </w:rPr>
        <w:t>/or</w:t>
      </w:r>
      <w:r w:rsidR="00F47037">
        <w:rPr>
          <w:rFonts w:cs="Times New Roman"/>
        </w:rPr>
        <w:t xml:space="preserve"> mental health disorders</w:t>
      </w:r>
      <w:r w:rsidR="008E02BA">
        <w:rPr>
          <w:rFonts w:cs="Times New Roman"/>
        </w:rPr>
        <w:t xml:space="preserve">, </w:t>
      </w:r>
      <w:r w:rsidR="003A3E9B">
        <w:rPr>
          <w:rFonts w:cs="Times New Roman"/>
        </w:rPr>
        <w:t xml:space="preserve">becoming street-involved or homeless, </w:t>
      </w:r>
      <w:r w:rsidR="008E02BA">
        <w:rPr>
          <w:rFonts w:cs="Times New Roman"/>
        </w:rPr>
        <w:t xml:space="preserve">and engaging in high-risk health and/or anti-social behaviours that increase the likelihood of such youth becoming justice involved. </w:t>
      </w:r>
    </w:p>
    <w:p w:rsidR="008E02BA" w:rsidRDefault="008E02BA" w:rsidP="00C945B5">
      <w:pPr>
        <w:autoSpaceDE w:val="0"/>
        <w:autoSpaceDN w:val="0"/>
        <w:adjustRightInd w:val="0"/>
        <w:spacing w:after="0" w:line="240" w:lineRule="auto"/>
        <w:rPr>
          <w:rFonts w:cs="Times New Roman"/>
        </w:rPr>
      </w:pPr>
    </w:p>
    <w:p w:rsidR="00121FFB" w:rsidRDefault="008E02BA" w:rsidP="00A11238">
      <w:pPr>
        <w:autoSpaceDE w:val="0"/>
        <w:autoSpaceDN w:val="0"/>
        <w:adjustRightInd w:val="0"/>
        <w:spacing w:after="0" w:line="240" w:lineRule="auto"/>
        <w:rPr>
          <w:rFonts w:cs="Times New Roman"/>
        </w:rPr>
      </w:pPr>
      <w:r>
        <w:rPr>
          <w:rFonts w:cs="Times New Roman"/>
        </w:rPr>
        <w:t xml:space="preserve">While </w:t>
      </w:r>
      <w:r w:rsidR="00C5773B">
        <w:rPr>
          <w:rFonts w:cs="Times New Roman"/>
        </w:rPr>
        <w:t xml:space="preserve">many youth do not </w:t>
      </w:r>
      <w:r w:rsidR="00F47037">
        <w:rPr>
          <w:rFonts w:cs="Times New Roman"/>
        </w:rPr>
        <w:t xml:space="preserve">report experiencing negative consequences </w:t>
      </w:r>
      <w:r w:rsidR="003A3E9B">
        <w:rPr>
          <w:rFonts w:cs="Times New Roman"/>
        </w:rPr>
        <w:t>as a result of their substance use</w:t>
      </w:r>
      <w:r>
        <w:rPr>
          <w:rFonts w:cs="Times New Roman"/>
        </w:rPr>
        <w:t>, vulnerable and at-risk youth (e.g</w:t>
      </w:r>
      <w:r w:rsidR="003A3E9B">
        <w:rPr>
          <w:rFonts w:cs="Times New Roman"/>
        </w:rPr>
        <w:t>.,</w:t>
      </w:r>
      <w:r>
        <w:rPr>
          <w:rFonts w:cs="Times New Roman"/>
        </w:rPr>
        <w:t xml:space="preserve"> street-involved or homeless</w:t>
      </w:r>
      <w:r w:rsidR="003A3E9B">
        <w:rPr>
          <w:rFonts w:cs="Times New Roman"/>
        </w:rPr>
        <w:t xml:space="preserve"> youth who may be struggling with mental health challenges) are more likely to come into conflict with the law</w:t>
      </w:r>
      <w:r w:rsidR="00AE7974">
        <w:rPr>
          <w:rFonts w:cs="Times New Roman"/>
        </w:rPr>
        <w:t>, and</w:t>
      </w:r>
      <w:r w:rsidR="00DD4C5D">
        <w:rPr>
          <w:rFonts w:cs="Times New Roman"/>
        </w:rPr>
        <w:t xml:space="preserve"> are</w:t>
      </w:r>
      <w:r w:rsidR="00AE7974">
        <w:rPr>
          <w:rFonts w:cs="Times New Roman"/>
        </w:rPr>
        <w:t xml:space="preserve"> more likely to experience negative consequences such as being injured, doing things they do not remember, overdosing or needing to seek help for their substance use. </w:t>
      </w:r>
      <w:r w:rsidR="00A11238">
        <w:rPr>
          <w:rFonts w:cs="Times New Roman"/>
        </w:rPr>
        <w:t xml:space="preserve">Unlike their mainstream peers, at-risk youth have typically faced multiple adverse childhood events and trauma exposures. </w:t>
      </w:r>
    </w:p>
    <w:p w:rsidR="00121FFB" w:rsidRDefault="00121FFB" w:rsidP="00A11238">
      <w:pPr>
        <w:autoSpaceDE w:val="0"/>
        <w:autoSpaceDN w:val="0"/>
        <w:adjustRightInd w:val="0"/>
        <w:spacing w:after="0" w:line="240" w:lineRule="auto"/>
        <w:rPr>
          <w:rFonts w:cs="Times New Roman"/>
        </w:rPr>
      </w:pPr>
    </w:p>
    <w:p w:rsidR="00121FFB" w:rsidRDefault="00A11238" w:rsidP="00A11238">
      <w:pPr>
        <w:autoSpaceDE w:val="0"/>
        <w:autoSpaceDN w:val="0"/>
        <w:adjustRightInd w:val="0"/>
        <w:spacing w:after="0" w:line="240" w:lineRule="auto"/>
        <w:rPr>
          <w:rFonts w:cs="Times New Roman"/>
        </w:rPr>
      </w:pPr>
      <w:r>
        <w:rPr>
          <w:rFonts w:cs="Times New Roman"/>
        </w:rPr>
        <w:t xml:space="preserve">Adverse events include experiencing physical or sexual abuse, living in families where one or both parents struggle(d) with substance abuse and/or mental health difficulties; being placed in government care on several occasions; and living in precarious housing or on the street. </w:t>
      </w:r>
      <w:r w:rsidR="00121FFB">
        <w:rPr>
          <w:rFonts w:cs="Times New Roman"/>
        </w:rPr>
        <w:t>Research suggests that at-risk youth frequently circulate between the streets, foster or group homes and the youth justice system where they might receive treatment for their substance use—only to relapse when they are released from custody back into the same stressful social conditions.</w:t>
      </w:r>
      <w:r w:rsidR="00DC07FD">
        <w:rPr>
          <w:rFonts w:cs="Times New Roman"/>
        </w:rPr>
        <w:t xml:space="preserve"> </w:t>
      </w:r>
    </w:p>
    <w:p w:rsidR="00121FFB" w:rsidRDefault="00121FFB" w:rsidP="00A11238">
      <w:pPr>
        <w:autoSpaceDE w:val="0"/>
        <w:autoSpaceDN w:val="0"/>
        <w:adjustRightInd w:val="0"/>
        <w:spacing w:after="0" w:line="240" w:lineRule="auto"/>
        <w:rPr>
          <w:rFonts w:cs="Times New Roman"/>
        </w:rPr>
      </w:pPr>
    </w:p>
    <w:p w:rsidR="00C945B5" w:rsidRDefault="00A11238" w:rsidP="00C945B5">
      <w:pPr>
        <w:autoSpaceDE w:val="0"/>
        <w:autoSpaceDN w:val="0"/>
        <w:adjustRightInd w:val="0"/>
        <w:spacing w:after="0" w:line="240" w:lineRule="auto"/>
        <w:rPr>
          <w:rFonts w:cs="Times New Roman"/>
        </w:rPr>
      </w:pPr>
      <w:r>
        <w:rPr>
          <w:rFonts w:cs="Times New Roman"/>
        </w:rPr>
        <w:t>Justice-involved and at-risk youth also report struggl</w:t>
      </w:r>
      <w:r w:rsidR="00121FFB">
        <w:rPr>
          <w:rFonts w:cs="Times New Roman"/>
        </w:rPr>
        <w:t xml:space="preserve">ing </w:t>
      </w:r>
      <w:r>
        <w:rPr>
          <w:rFonts w:cs="Times New Roman"/>
        </w:rPr>
        <w:t xml:space="preserve">with </w:t>
      </w:r>
      <w:r w:rsidR="00121FFB">
        <w:rPr>
          <w:rFonts w:cs="Times New Roman"/>
        </w:rPr>
        <w:t xml:space="preserve">concurrent </w:t>
      </w:r>
      <w:r>
        <w:rPr>
          <w:rFonts w:cs="Times New Roman"/>
        </w:rPr>
        <w:t xml:space="preserve">substance use and mental health challenges, including traumatic stress responses, PTSD, and diagnoses that typically exist concurrently with PTSD. </w:t>
      </w:r>
      <w:r w:rsidR="00121FFB">
        <w:rPr>
          <w:rFonts w:cs="Times New Roman"/>
        </w:rPr>
        <w:t>However, t</w:t>
      </w:r>
      <w:r w:rsidR="00C945B5">
        <w:rPr>
          <w:rFonts w:cs="Times New Roman"/>
        </w:rPr>
        <w:t>raumatized youth in custodial and residential treatment facilities are not always screened for trauma or correctly diagnosed when they are assessed. This can have significant implications both for developing appropriate treatment plans and for traumatized youths’ ability to successfully complete treatment programs</w:t>
      </w:r>
      <w:r w:rsidR="00121FFB">
        <w:rPr>
          <w:rFonts w:cs="Times New Roman"/>
        </w:rPr>
        <w:t>,</w:t>
      </w:r>
      <w:r w:rsidR="00C945B5">
        <w:rPr>
          <w:rFonts w:cs="Times New Roman"/>
        </w:rPr>
        <w:t xml:space="preserve"> given the extent of </w:t>
      </w:r>
      <w:proofErr w:type="spellStart"/>
      <w:r w:rsidR="00C945B5">
        <w:rPr>
          <w:rFonts w:cs="Times New Roman"/>
        </w:rPr>
        <w:t>dysregulation</w:t>
      </w:r>
      <w:proofErr w:type="spellEnd"/>
      <w:r w:rsidR="00C945B5">
        <w:rPr>
          <w:rFonts w:cs="Times New Roman"/>
        </w:rPr>
        <w:t xml:space="preserve"> </w:t>
      </w:r>
      <w:r w:rsidR="00DC07FD">
        <w:rPr>
          <w:rFonts w:cs="Times New Roman"/>
        </w:rPr>
        <w:t>they have</w:t>
      </w:r>
      <w:r w:rsidR="00C945B5">
        <w:rPr>
          <w:rFonts w:cs="Times New Roman"/>
        </w:rPr>
        <w:t xml:space="preserve"> experience</w:t>
      </w:r>
      <w:r w:rsidR="00DC07FD">
        <w:rPr>
          <w:rFonts w:cs="Times New Roman"/>
        </w:rPr>
        <w:t>d as a result of their trauma histories</w:t>
      </w:r>
      <w:r w:rsidR="00C945B5">
        <w:rPr>
          <w:rFonts w:cs="Times New Roman"/>
        </w:rPr>
        <w:t xml:space="preserve">. Numerous trauma researchers advocate for adopting a trauma-informed organizational culture and treatment philosophies/practices that emphasize building strengths and resilience while also working to develop and master self-regulation skills. </w:t>
      </w:r>
    </w:p>
    <w:p w:rsidR="00C945B5" w:rsidRDefault="00C945B5" w:rsidP="00C945B5">
      <w:pPr>
        <w:autoSpaceDE w:val="0"/>
        <w:autoSpaceDN w:val="0"/>
        <w:adjustRightInd w:val="0"/>
        <w:spacing w:after="0" w:line="240" w:lineRule="auto"/>
        <w:rPr>
          <w:rFonts w:cs="Times New Roman"/>
        </w:rPr>
      </w:pPr>
    </w:p>
    <w:p w:rsidR="00030DCC" w:rsidRDefault="00DC07FD" w:rsidP="00DC07FD">
      <w:pPr>
        <w:autoSpaceDE w:val="0"/>
        <w:autoSpaceDN w:val="0"/>
        <w:adjustRightInd w:val="0"/>
        <w:spacing w:after="0" w:line="240" w:lineRule="auto"/>
        <w:rPr>
          <w:rFonts w:cs="Times New Roman"/>
        </w:rPr>
      </w:pPr>
      <w:r>
        <w:rPr>
          <w:rFonts w:cs="Times New Roman"/>
        </w:rPr>
        <w:t xml:space="preserve">Trauma also has a somatic component and research has shown that </w:t>
      </w:r>
      <w:r w:rsidR="00C945B5">
        <w:rPr>
          <w:rFonts w:cs="Times New Roman"/>
        </w:rPr>
        <w:t xml:space="preserve">trauma-sensitive (or trauma-informed) complementary treatment approaches such as trauma-informed yoga or variations on Mindfulness-based stress reduction </w:t>
      </w:r>
      <w:r>
        <w:rPr>
          <w:rFonts w:cs="Times New Roman"/>
        </w:rPr>
        <w:t>practices are effective in reducing traumatic stress symptoms and</w:t>
      </w:r>
      <w:r w:rsidR="00030DCC">
        <w:rPr>
          <w:rFonts w:cs="Times New Roman"/>
        </w:rPr>
        <w:t xml:space="preserve"> increasing wellness in adults. Less research has been done to empirically establish the efficacy of trauma-sensitive yoga for helping at-risk youth, and specifically in contributing to successful outcomes for youth undergoing substance use treatment. </w:t>
      </w:r>
    </w:p>
    <w:p w:rsidR="00030DCC" w:rsidRDefault="00030DCC" w:rsidP="00DC07FD">
      <w:pPr>
        <w:autoSpaceDE w:val="0"/>
        <w:autoSpaceDN w:val="0"/>
        <w:adjustRightInd w:val="0"/>
        <w:spacing w:after="0" w:line="240" w:lineRule="auto"/>
        <w:rPr>
          <w:rFonts w:cs="Times New Roman"/>
        </w:rPr>
      </w:pPr>
    </w:p>
    <w:p w:rsidR="005B3F2C" w:rsidRDefault="00030DCC" w:rsidP="00DC07FD">
      <w:pPr>
        <w:autoSpaceDE w:val="0"/>
        <w:autoSpaceDN w:val="0"/>
        <w:adjustRightInd w:val="0"/>
        <w:spacing w:after="0" w:line="240" w:lineRule="auto"/>
        <w:rPr>
          <w:rFonts w:cs="Times New Roman"/>
        </w:rPr>
      </w:pPr>
      <w:r>
        <w:rPr>
          <w:rFonts w:cs="Times New Roman"/>
        </w:rPr>
        <w:t xml:space="preserve">Yoga Outreach has been providing trauma-sensitive yoga classes to justice-involved and at-risk youth for over a decade. Based on the empirical studies that have established trauma-sensitive yoga as an evidence-based treatment intervention and </w:t>
      </w:r>
      <w:r w:rsidR="005B3F2C">
        <w:rPr>
          <w:rFonts w:cs="Times New Roman"/>
        </w:rPr>
        <w:t xml:space="preserve">the observations of Yoga Outreach teachers, the </w:t>
      </w:r>
      <w:r w:rsidR="005B3F2C">
        <w:rPr>
          <w:rFonts w:cs="Times New Roman"/>
        </w:rPr>
        <w:lastRenderedPageBreak/>
        <w:t xml:space="preserve">organization has submitted a proposal to the Department of Justice to examine the efficacy of trauma-based yoga and similar mindfulness-based stress reduction programs as a promising adjunctive treatment intervention for justice involved youth receiving treatment for substance use disorders. </w:t>
      </w:r>
    </w:p>
    <w:p w:rsidR="005B3F2C" w:rsidRDefault="005B3F2C" w:rsidP="00DC07FD">
      <w:pPr>
        <w:autoSpaceDE w:val="0"/>
        <w:autoSpaceDN w:val="0"/>
        <w:adjustRightInd w:val="0"/>
        <w:spacing w:after="0" w:line="240" w:lineRule="auto"/>
        <w:rPr>
          <w:rFonts w:cs="Times New Roman"/>
        </w:rPr>
      </w:pPr>
    </w:p>
    <w:p w:rsidR="00C945B5" w:rsidRPr="008A5786" w:rsidRDefault="005B3F2C" w:rsidP="00680690">
      <w:pPr>
        <w:autoSpaceDE w:val="0"/>
        <w:autoSpaceDN w:val="0"/>
        <w:adjustRightInd w:val="0"/>
        <w:spacing w:after="0" w:line="240" w:lineRule="auto"/>
        <w:rPr>
          <w:rFonts w:cs="Times New Roman"/>
        </w:rPr>
      </w:pPr>
      <w:r>
        <w:rPr>
          <w:rFonts w:cs="Times New Roman"/>
        </w:rPr>
        <w:t xml:space="preserve">This study examines published studies and “grey literature” on both the standard substance use treatment models as well as a small, but growing body of empirical studies investigating the efficacy of </w:t>
      </w:r>
      <w:r w:rsidR="00680690">
        <w:rPr>
          <w:rFonts w:cs="Times New Roman"/>
        </w:rPr>
        <w:t>trauma-based complementary programs. This literature review also considers the need for gender-responsive and culturally-responsi</w:t>
      </w:r>
      <w:r w:rsidR="00FF1E7B">
        <w:rPr>
          <w:rFonts w:cs="Times New Roman"/>
        </w:rPr>
        <w:t>v</w:t>
      </w:r>
      <w:r w:rsidR="00680690">
        <w:rPr>
          <w:rFonts w:cs="Times New Roman"/>
        </w:rPr>
        <w:t>e treatment models that more specifically address the unique needs of female young offenders and Aboriginal young offenders.</w:t>
      </w:r>
    </w:p>
    <w:p w:rsidR="0013650A" w:rsidRDefault="0013650A" w:rsidP="0013650A">
      <w:pPr>
        <w:spacing w:after="0" w:line="240" w:lineRule="auto"/>
        <w:rPr>
          <w:b/>
        </w:rPr>
      </w:pPr>
    </w:p>
    <w:p w:rsidR="0013650A" w:rsidRDefault="0013650A">
      <w:pPr>
        <w:rPr>
          <w:b/>
        </w:rPr>
      </w:pPr>
      <w:r>
        <w:rPr>
          <w:b/>
        </w:rPr>
        <w:br w:type="page"/>
      </w:r>
    </w:p>
    <w:p w:rsidR="000B22E4" w:rsidRPr="000B22E4" w:rsidRDefault="000B22E4" w:rsidP="00F83436">
      <w:pPr>
        <w:pStyle w:val="NormalWeb"/>
        <w:spacing w:after="0" w:afterAutospacing="0"/>
        <w:ind w:left="360" w:hanging="360"/>
        <w:rPr>
          <w:rFonts w:asciiTheme="minorHAnsi" w:eastAsiaTheme="minorHAnsi" w:hAnsiTheme="minorHAnsi"/>
          <w:b/>
          <w:sz w:val="22"/>
          <w:szCs w:val="22"/>
          <w:lang w:val="en-CA"/>
        </w:rPr>
      </w:pPr>
      <w:r>
        <w:rPr>
          <w:rFonts w:asciiTheme="minorHAnsi" w:eastAsiaTheme="minorHAnsi" w:hAnsiTheme="minorHAnsi"/>
          <w:b/>
          <w:sz w:val="22"/>
          <w:szCs w:val="22"/>
          <w:lang w:val="en-CA"/>
        </w:rPr>
        <w:lastRenderedPageBreak/>
        <w:t>Introduction and definitions</w:t>
      </w:r>
    </w:p>
    <w:p w:rsidR="001C1FEB" w:rsidRDefault="007008C7" w:rsidP="00F83436">
      <w:pPr>
        <w:pStyle w:val="NormalWeb"/>
        <w:spacing w:before="0" w:beforeAutospacing="0" w:after="0" w:afterAutospacing="0"/>
        <w:rPr>
          <w:rFonts w:asciiTheme="minorHAnsi" w:eastAsiaTheme="minorHAnsi" w:hAnsiTheme="minorHAnsi"/>
          <w:sz w:val="22"/>
          <w:szCs w:val="22"/>
          <w:lang w:val="en-CA"/>
        </w:rPr>
      </w:pPr>
      <w:r>
        <w:rPr>
          <w:rFonts w:asciiTheme="minorHAnsi" w:eastAsiaTheme="minorHAnsi" w:hAnsiTheme="minorHAnsi"/>
          <w:sz w:val="22"/>
          <w:szCs w:val="22"/>
          <w:lang w:val="en-CA"/>
        </w:rPr>
        <w:t xml:space="preserve">Surveys such as the </w:t>
      </w:r>
      <w:r>
        <w:rPr>
          <w:rFonts w:asciiTheme="minorHAnsi" w:eastAsiaTheme="minorHAnsi" w:hAnsiTheme="minorHAnsi"/>
          <w:i/>
          <w:sz w:val="22"/>
          <w:szCs w:val="22"/>
          <w:lang w:val="en-CA"/>
        </w:rPr>
        <w:t xml:space="preserve">Canadian Alcohol and Drug Use Monitoring Survey </w:t>
      </w:r>
      <w:r>
        <w:rPr>
          <w:rFonts w:asciiTheme="minorHAnsi" w:eastAsiaTheme="minorHAnsi" w:hAnsiTheme="minorHAnsi"/>
          <w:sz w:val="22"/>
          <w:szCs w:val="22"/>
          <w:lang w:val="en-CA"/>
        </w:rPr>
        <w:t xml:space="preserve">(Controlled Substance and Tobacco Directorate, 2014), the </w:t>
      </w:r>
      <w:r>
        <w:rPr>
          <w:rFonts w:asciiTheme="minorHAnsi" w:eastAsiaTheme="minorHAnsi" w:hAnsiTheme="minorHAnsi"/>
          <w:i/>
          <w:sz w:val="22"/>
          <w:szCs w:val="22"/>
          <w:lang w:val="en-CA"/>
        </w:rPr>
        <w:t xml:space="preserve">Youth Smoking Survey </w:t>
      </w:r>
      <w:r>
        <w:rPr>
          <w:rFonts w:asciiTheme="minorHAnsi" w:eastAsiaTheme="minorHAnsi" w:hAnsiTheme="minorHAnsi"/>
          <w:sz w:val="22"/>
          <w:szCs w:val="22"/>
          <w:lang w:val="en-CA"/>
        </w:rPr>
        <w:t xml:space="preserve">(Health Canada, 2014) that track youth and adult substance use patterns (e.g., age at which participants first tried a substance, type of substances used) </w:t>
      </w:r>
      <w:r w:rsidR="00680690">
        <w:rPr>
          <w:rFonts w:asciiTheme="minorHAnsi" w:eastAsiaTheme="minorHAnsi" w:hAnsiTheme="minorHAnsi"/>
          <w:sz w:val="22"/>
          <w:szCs w:val="22"/>
          <w:lang w:val="en-CA"/>
        </w:rPr>
        <w:t>consistently report that substance use among youth is prevalent.</w:t>
      </w:r>
      <w:r w:rsidR="008B1482">
        <w:rPr>
          <w:rFonts w:asciiTheme="minorHAnsi" w:eastAsiaTheme="minorHAnsi" w:hAnsiTheme="minorHAnsi"/>
          <w:sz w:val="22"/>
          <w:szCs w:val="22"/>
          <w:lang w:val="en-CA"/>
        </w:rPr>
        <w:t xml:space="preserve"> </w:t>
      </w:r>
      <w:r w:rsidR="00680690">
        <w:rPr>
          <w:rFonts w:asciiTheme="minorHAnsi" w:eastAsiaTheme="minorHAnsi" w:hAnsiTheme="minorHAnsi"/>
          <w:sz w:val="22"/>
          <w:szCs w:val="22"/>
          <w:lang w:val="en-CA"/>
        </w:rPr>
        <w:t xml:space="preserve">While not all experimentation automatically leads to problematic substance use, certain patterns of use and early onset of substance use are markers for a youth who may be at risk of developing more </w:t>
      </w:r>
      <w:r w:rsidR="003F7798">
        <w:rPr>
          <w:rFonts w:asciiTheme="minorHAnsi" w:eastAsiaTheme="minorHAnsi" w:hAnsiTheme="minorHAnsi"/>
          <w:sz w:val="22"/>
          <w:szCs w:val="22"/>
          <w:lang w:val="en-CA"/>
        </w:rPr>
        <w:t xml:space="preserve">serious </w:t>
      </w:r>
      <w:r w:rsidR="00680690">
        <w:rPr>
          <w:rFonts w:asciiTheme="minorHAnsi" w:eastAsiaTheme="minorHAnsi" w:hAnsiTheme="minorHAnsi"/>
          <w:sz w:val="22"/>
          <w:szCs w:val="22"/>
          <w:lang w:val="en-CA"/>
        </w:rPr>
        <w:t xml:space="preserve">consequences. </w:t>
      </w:r>
      <w:r w:rsidR="008B1482">
        <w:rPr>
          <w:rFonts w:asciiTheme="minorHAnsi" w:eastAsiaTheme="minorHAnsi" w:hAnsiTheme="minorHAnsi"/>
          <w:sz w:val="22"/>
          <w:szCs w:val="22"/>
          <w:lang w:val="en-CA"/>
        </w:rPr>
        <w:t>The initiation</w:t>
      </w:r>
      <w:r w:rsidR="00323313">
        <w:rPr>
          <w:rFonts w:asciiTheme="minorHAnsi" w:eastAsiaTheme="minorHAnsi" w:hAnsiTheme="minorHAnsi"/>
          <w:sz w:val="22"/>
          <w:szCs w:val="22"/>
          <w:lang w:val="en-CA"/>
        </w:rPr>
        <w:t xml:space="preserve"> </w:t>
      </w:r>
      <w:r w:rsidR="006932B6">
        <w:rPr>
          <w:rFonts w:asciiTheme="minorHAnsi" w:eastAsiaTheme="minorHAnsi" w:hAnsiTheme="minorHAnsi"/>
          <w:sz w:val="22"/>
          <w:szCs w:val="22"/>
          <w:lang w:val="en-CA"/>
        </w:rPr>
        <w:t>of substance use</w:t>
      </w:r>
      <w:r w:rsidR="001779C6">
        <w:rPr>
          <w:rFonts w:asciiTheme="minorHAnsi" w:eastAsiaTheme="minorHAnsi" w:hAnsiTheme="minorHAnsi"/>
          <w:sz w:val="22"/>
          <w:szCs w:val="22"/>
          <w:lang w:val="en-CA"/>
        </w:rPr>
        <w:t xml:space="preserve"> starting</w:t>
      </w:r>
      <w:r w:rsidR="008B1482">
        <w:rPr>
          <w:rFonts w:asciiTheme="minorHAnsi" w:eastAsiaTheme="minorHAnsi" w:hAnsiTheme="minorHAnsi"/>
          <w:sz w:val="22"/>
          <w:szCs w:val="22"/>
          <w:lang w:val="en-CA"/>
        </w:rPr>
        <w:t xml:space="preserve"> at an early age </w:t>
      </w:r>
      <w:r w:rsidR="00323313">
        <w:rPr>
          <w:rFonts w:asciiTheme="minorHAnsi" w:eastAsiaTheme="minorHAnsi" w:hAnsiTheme="minorHAnsi"/>
          <w:sz w:val="22"/>
          <w:szCs w:val="22"/>
          <w:lang w:val="en-CA"/>
        </w:rPr>
        <w:t>is of particular concern because of the far-reaching consequences</w:t>
      </w:r>
      <w:r w:rsidR="007C7475">
        <w:rPr>
          <w:rFonts w:asciiTheme="minorHAnsi" w:eastAsiaTheme="minorHAnsi" w:hAnsiTheme="minorHAnsi"/>
          <w:sz w:val="22"/>
          <w:szCs w:val="22"/>
          <w:lang w:val="en-CA"/>
        </w:rPr>
        <w:t>—including engaging in high-risk health behaviours, developing or exacerbating mental health disorders, becoming homeless or street-involved, and/or involvement in the criminal justice system—</w:t>
      </w:r>
      <w:r w:rsidR="00323313">
        <w:rPr>
          <w:rFonts w:asciiTheme="minorHAnsi" w:eastAsiaTheme="minorHAnsi" w:hAnsiTheme="minorHAnsi"/>
          <w:sz w:val="22"/>
          <w:szCs w:val="22"/>
          <w:lang w:val="en-CA"/>
        </w:rPr>
        <w:t xml:space="preserve">for </w:t>
      </w:r>
      <w:r w:rsidR="005F3CDB">
        <w:rPr>
          <w:rFonts w:asciiTheme="minorHAnsi" w:eastAsiaTheme="minorHAnsi" w:hAnsiTheme="minorHAnsi"/>
          <w:sz w:val="22"/>
          <w:szCs w:val="22"/>
          <w:lang w:val="en-CA"/>
        </w:rPr>
        <w:t xml:space="preserve">these </w:t>
      </w:r>
      <w:r w:rsidR="00323313">
        <w:rPr>
          <w:rFonts w:asciiTheme="minorHAnsi" w:eastAsiaTheme="minorHAnsi" w:hAnsiTheme="minorHAnsi"/>
          <w:sz w:val="22"/>
          <w:szCs w:val="22"/>
          <w:lang w:val="en-CA"/>
        </w:rPr>
        <w:t xml:space="preserve">youth (Ford &amp; </w:t>
      </w:r>
      <w:proofErr w:type="spellStart"/>
      <w:r w:rsidR="00323313">
        <w:rPr>
          <w:rFonts w:asciiTheme="minorHAnsi" w:eastAsiaTheme="minorHAnsi" w:hAnsiTheme="minorHAnsi"/>
          <w:sz w:val="22"/>
          <w:szCs w:val="22"/>
          <w:lang w:val="en-CA"/>
        </w:rPr>
        <w:t>Blaustein</w:t>
      </w:r>
      <w:proofErr w:type="spellEnd"/>
      <w:r w:rsidR="00323313">
        <w:rPr>
          <w:rFonts w:asciiTheme="minorHAnsi" w:eastAsiaTheme="minorHAnsi" w:hAnsiTheme="minorHAnsi"/>
          <w:sz w:val="22"/>
          <w:szCs w:val="22"/>
          <w:lang w:val="en-CA"/>
        </w:rPr>
        <w:t xml:space="preserve">, 2013; Layne, </w:t>
      </w:r>
      <w:proofErr w:type="spellStart"/>
      <w:r w:rsidR="00323313">
        <w:rPr>
          <w:rFonts w:asciiTheme="minorHAnsi" w:eastAsiaTheme="minorHAnsi" w:hAnsiTheme="minorHAnsi"/>
          <w:sz w:val="22"/>
          <w:szCs w:val="22"/>
          <w:lang w:val="en-CA"/>
        </w:rPr>
        <w:t>Greeson</w:t>
      </w:r>
      <w:proofErr w:type="spellEnd"/>
      <w:r w:rsidR="00323313">
        <w:rPr>
          <w:rFonts w:asciiTheme="minorHAnsi" w:eastAsiaTheme="minorHAnsi" w:hAnsiTheme="minorHAnsi"/>
          <w:sz w:val="22"/>
          <w:szCs w:val="22"/>
          <w:lang w:val="en-CA"/>
        </w:rPr>
        <w:t xml:space="preserve">, </w:t>
      </w:r>
      <w:proofErr w:type="spellStart"/>
      <w:r w:rsidR="00323313">
        <w:rPr>
          <w:rFonts w:asciiTheme="minorHAnsi" w:eastAsiaTheme="minorHAnsi" w:hAnsiTheme="minorHAnsi"/>
          <w:sz w:val="22"/>
          <w:szCs w:val="22"/>
          <w:lang w:val="en-CA"/>
        </w:rPr>
        <w:t>Ostrowski</w:t>
      </w:r>
      <w:proofErr w:type="spellEnd"/>
      <w:r w:rsidR="00323313">
        <w:rPr>
          <w:rFonts w:asciiTheme="minorHAnsi" w:eastAsiaTheme="minorHAnsi" w:hAnsiTheme="minorHAnsi"/>
          <w:sz w:val="22"/>
          <w:szCs w:val="22"/>
          <w:lang w:val="en-CA"/>
        </w:rPr>
        <w:t xml:space="preserve">, Kim, Reading, </w:t>
      </w:r>
      <w:proofErr w:type="spellStart"/>
      <w:r w:rsidR="00323313">
        <w:rPr>
          <w:rFonts w:asciiTheme="minorHAnsi" w:eastAsiaTheme="minorHAnsi" w:hAnsiTheme="minorHAnsi"/>
          <w:sz w:val="22"/>
          <w:szCs w:val="22"/>
          <w:lang w:val="en-CA"/>
        </w:rPr>
        <w:t>Vivrette</w:t>
      </w:r>
      <w:proofErr w:type="spellEnd"/>
      <w:r w:rsidR="00323313">
        <w:rPr>
          <w:rFonts w:asciiTheme="minorHAnsi" w:eastAsiaTheme="minorHAnsi" w:hAnsiTheme="minorHAnsi"/>
          <w:sz w:val="22"/>
          <w:szCs w:val="22"/>
          <w:lang w:val="en-CA"/>
        </w:rPr>
        <w:t xml:space="preserve">, Briggs, Fairbank &amp; </w:t>
      </w:r>
      <w:proofErr w:type="spellStart"/>
      <w:r w:rsidR="00323313">
        <w:rPr>
          <w:rFonts w:asciiTheme="minorHAnsi" w:eastAsiaTheme="minorHAnsi" w:hAnsiTheme="minorHAnsi"/>
          <w:sz w:val="22"/>
          <w:szCs w:val="22"/>
          <w:lang w:val="en-CA"/>
        </w:rPr>
        <w:t>Pynoos</w:t>
      </w:r>
      <w:proofErr w:type="spellEnd"/>
      <w:r w:rsidR="00323313">
        <w:rPr>
          <w:rFonts w:asciiTheme="minorHAnsi" w:eastAsiaTheme="minorHAnsi" w:hAnsiTheme="minorHAnsi"/>
          <w:sz w:val="22"/>
          <w:szCs w:val="22"/>
          <w:lang w:val="en-CA"/>
        </w:rPr>
        <w:t xml:space="preserve">, 2014; </w:t>
      </w:r>
      <w:proofErr w:type="spellStart"/>
      <w:r w:rsidR="00323313">
        <w:rPr>
          <w:rFonts w:asciiTheme="minorHAnsi" w:eastAsiaTheme="minorHAnsi" w:hAnsiTheme="minorHAnsi"/>
          <w:sz w:val="22"/>
          <w:szCs w:val="22"/>
          <w:lang w:val="en-CA"/>
        </w:rPr>
        <w:t>McCay</w:t>
      </w:r>
      <w:proofErr w:type="spellEnd"/>
      <w:r w:rsidR="00323313">
        <w:rPr>
          <w:rFonts w:asciiTheme="minorHAnsi" w:eastAsiaTheme="minorHAnsi" w:hAnsiTheme="minorHAnsi"/>
          <w:sz w:val="22"/>
          <w:szCs w:val="22"/>
          <w:lang w:val="en-CA"/>
        </w:rPr>
        <w:t>, 2011; White &amp; Dennis, 2003)</w:t>
      </w:r>
      <w:r w:rsidR="007C7475">
        <w:rPr>
          <w:rFonts w:asciiTheme="minorHAnsi" w:eastAsiaTheme="minorHAnsi" w:hAnsiTheme="minorHAnsi"/>
          <w:sz w:val="22"/>
          <w:szCs w:val="22"/>
          <w:lang w:val="en-CA"/>
        </w:rPr>
        <w:t xml:space="preserve">. </w:t>
      </w:r>
    </w:p>
    <w:p w:rsidR="001C1FEB" w:rsidRDefault="001C1FEB" w:rsidP="00F83436">
      <w:pPr>
        <w:pStyle w:val="NormalWeb"/>
        <w:spacing w:before="0" w:beforeAutospacing="0" w:after="0" w:afterAutospacing="0"/>
        <w:rPr>
          <w:rFonts w:asciiTheme="minorHAnsi" w:eastAsiaTheme="minorHAnsi" w:hAnsiTheme="minorHAnsi"/>
          <w:sz w:val="22"/>
          <w:szCs w:val="22"/>
          <w:lang w:val="en-CA"/>
        </w:rPr>
      </w:pPr>
    </w:p>
    <w:p w:rsidR="007008C7" w:rsidRPr="007008C7" w:rsidRDefault="007C7475" w:rsidP="00F83436">
      <w:pPr>
        <w:pStyle w:val="NormalWeb"/>
        <w:spacing w:before="0" w:beforeAutospacing="0" w:after="0" w:afterAutospacing="0"/>
        <w:rPr>
          <w:rFonts w:asciiTheme="minorHAnsi" w:eastAsiaTheme="minorHAnsi" w:hAnsiTheme="minorHAnsi"/>
          <w:sz w:val="22"/>
          <w:szCs w:val="22"/>
          <w:lang w:val="en-CA"/>
        </w:rPr>
      </w:pPr>
      <w:r>
        <w:rPr>
          <w:rFonts w:asciiTheme="minorHAnsi" w:eastAsiaTheme="minorHAnsi" w:hAnsiTheme="minorHAnsi"/>
          <w:sz w:val="22"/>
          <w:szCs w:val="22"/>
          <w:lang w:val="en-CA"/>
        </w:rPr>
        <w:t>For the most part, substance use treatment programs that are offered to youth are often an adaption of treatment models (e.g., therapeutic communities in residential treatment settings, group or individual counselling in community-based settings, twelve-step groups</w:t>
      </w:r>
      <w:r w:rsidR="008E12E8">
        <w:rPr>
          <w:rFonts w:asciiTheme="minorHAnsi" w:eastAsiaTheme="minorHAnsi" w:hAnsiTheme="minorHAnsi"/>
          <w:sz w:val="22"/>
          <w:szCs w:val="22"/>
          <w:lang w:val="en-CA"/>
        </w:rPr>
        <w:t>, motivational enhancement counselling</w:t>
      </w:r>
      <w:r>
        <w:rPr>
          <w:rFonts w:asciiTheme="minorHAnsi" w:eastAsiaTheme="minorHAnsi" w:hAnsiTheme="minorHAnsi"/>
          <w:sz w:val="22"/>
          <w:szCs w:val="22"/>
          <w:lang w:val="en-CA"/>
        </w:rPr>
        <w:t>)</w:t>
      </w:r>
      <w:r w:rsidR="00B16E63">
        <w:rPr>
          <w:rFonts w:asciiTheme="minorHAnsi" w:eastAsiaTheme="minorHAnsi" w:hAnsiTheme="minorHAnsi"/>
          <w:sz w:val="22"/>
          <w:szCs w:val="22"/>
          <w:lang w:val="en-CA"/>
        </w:rPr>
        <w:t xml:space="preserve"> </w:t>
      </w:r>
      <w:r w:rsidR="008E12E8">
        <w:rPr>
          <w:rFonts w:asciiTheme="minorHAnsi" w:eastAsiaTheme="minorHAnsi" w:hAnsiTheme="minorHAnsi"/>
          <w:sz w:val="22"/>
          <w:szCs w:val="22"/>
          <w:lang w:val="en-CA"/>
        </w:rPr>
        <w:t>and outcome</w:t>
      </w:r>
      <w:r w:rsidR="00907A59">
        <w:rPr>
          <w:rFonts w:asciiTheme="minorHAnsi" w:eastAsiaTheme="minorHAnsi" w:hAnsiTheme="minorHAnsi"/>
          <w:sz w:val="22"/>
          <w:szCs w:val="22"/>
          <w:lang w:val="en-CA"/>
        </w:rPr>
        <w:t xml:space="preserve"> measures designed for adults (Brown, 2004), and </w:t>
      </w:r>
      <w:r w:rsidR="00B16E63">
        <w:rPr>
          <w:rFonts w:asciiTheme="minorHAnsi" w:eastAsiaTheme="minorHAnsi" w:hAnsiTheme="minorHAnsi"/>
          <w:sz w:val="22"/>
          <w:szCs w:val="22"/>
          <w:lang w:val="en-CA"/>
        </w:rPr>
        <w:t xml:space="preserve">often produce mixed results, at best, when used </w:t>
      </w:r>
      <w:r w:rsidR="001C1FEB">
        <w:rPr>
          <w:rFonts w:asciiTheme="minorHAnsi" w:eastAsiaTheme="minorHAnsi" w:hAnsiTheme="minorHAnsi"/>
          <w:sz w:val="22"/>
          <w:szCs w:val="22"/>
          <w:lang w:val="en-CA"/>
        </w:rPr>
        <w:t>to</w:t>
      </w:r>
      <w:r w:rsidR="00B16E63">
        <w:rPr>
          <w:rFonts w:asciiTheme="minorHAnsi" w:eastAsiaTheme="minorHAnsi" w:hAnsiTheme="minorHAnsi"/>
          <w:sz w:val="22"/>
          <w:szCs w:val="22"/>
          <w:lang w:val="en-CA"/>
        </w:rPr>
        <w:t xml:space="preserve"> </w:t>
      </w:r>
      <w:r w:rsidR="00907A59">
        <w:rPr>
          <w:rFonts w:asciiTheme="minorHAnsi" w:eastAsiaTheme="minorHAnsi" w:hAnsiTheme="minorHAnsi"/>
          <w:sz w:val="22"/>
          <w:szCs w:val="22"/>
          <w:lang w:val="en-CA"/>
        </w:rPr>
        <w:t xml:space="preserve">treat </w:t>
      </w:r>
      <w:r w:rsidR="00B16E63">
        <w:rPr>
          <w:rFonts w:asciiTheme="minorHAnsi" w:eastAsiaTheme="minorHAnsi" w:hAnsiTheme="minorHAnsi"/>
          <w:sz w:val="22"/>
          <w:szCs w:val="22"/>
          <w:lang w:val="en-CA"/>
        </w:rPr>
        <w:t xml:space="preserve">adolescents </w:t>
      </w:r>
      <w:r w:rsidR="001C1FEB">
        <w:rPr>
          <w:rFonts w:asciiTheme="minorHAnsi" w:eastAsiaTheme="minorHAnsi" w:hAnsiTheme="minorHAnsi"/>
          <w:sz w:val="22"/>
          <w:szCs w:val="22"/>
          <w:lang w:val="en-CA"/>
        </w:rPr>
        <w:t xml:space="preserve">with substance use disorders </w:t>
      </w:r>
      <w:r w:rsidR="00B16E63">
        <w:rPr>
          <w:rFonts w:asciiTheme="minorHAnsi" w:eastAsiaTheme="minorHAnsi" w:hAnsiTheme="minorHAnsi"/>
          <w:sz w:val="22"/>
          <w:szCs w:val="22"/>
          <w:lang w:val="en-CA"/>
        </w:rPr>
        <w:t>(</w:t>
      </w:r>
      <w:proofErr w:type="spellStart"/>
      <w:r w:rsidR="00B16E63">
        <w:rPr>
          <w:rFonts w:asciiTheme="minorHAnsi" w:eastAsiaTheme="minorHAnsi" w:hAnsiTheme="minorHAnsi"/>
          <w:sz w:val="22"/>
          <w:szCs w:val="22"/>
          <w:lang w:val="en-CA"/>
        </w:rPr>
        <w:t>Deas</w:t>
      </w:r>
      <w:proofErr w:type="spellEnd"/>
      <w:r w:rsidR="00B16E63">
        <w:rPr>
          <w:rFonts w:asciiTheme="minorHAnsi" w:eastAsiaTheme="minorHAnsi" w:hAnsiTheme="minorHAnsi"/>
          <w:sz w:val="22"/>
          <w:szCs w:val="22"/>
          <w:lang w:val="en-CA"/>
        </w:rPr>
        <w:t xml:space="preserve"> &amp; Thomas, 2001; Williams &amp; Chang, 2000</w:t>
      </w:r>
      <w:r w:rsidR="001C1FEB">
        <w:rPr>
          <w:rFonts w:asciiTheme="minorHAnsi" w:eastAsiaTheme="minorHAnsi" w:hAnsiTheme="minorHAnsi"/>
          <w:sz w:val="22"/>
          <w:szCs w:val="22"/>
          <w:lang w:val="en-CA"/>
        </w:rPr>
        <w:t>)</w:t>
      </w:r>
      <w:r w:rsidR="005F3CDB">
        <w:rPr>
          <w:rFonts w:asciiTheme="minorHAnsi" w:eastAsiaTheme="minorHAnsi" w:hAnsiTheme="minorHAnsi"/>
          <w:sz w:val="22"/>
          <w:szCs w:val="22"/>
          <w:lang w:val="en-CA"/>
        </w:rPr>
        <w:t>. Furthermore,</w:t>
      </w:r>
      <w:r w:rsidR="00B5160D">
        <w:rPr>
          <w:rFonts w:asciiTheme="minorHAnsi" w:eastAsiaTheme="minorHAnsi" w:hAnsiTheme="minorHAnsi"/>
          <w:sz w:val="22"/>
          <w:szCs w:val="22"/>
          <w:lang w:val="en-CA"/>
        </w:rPr>
        <w:t xml:space="preserve"> a large proportion of justice-involved</w:t>
      </w:r>
      <w:r w:rsidR="005F3CDB">
        <w:rPr>
          <w:rFonts w:asciiTheme="minorHAnsi" w:eastAsiaTheme="minorHAnsi" w:hAnsiTheme="minorHAnsi"/>
          <w:sz w:val="22"/>
          <w:szCs w:val="22"/>
          <w:lang w:val="en-CA"/>
        </w:rPr>
        <w:t xml:space="preserve"> youth with substance use disorders </w:t>
      </w:r>
      <w:r w:rsidR="00B5160D">
        <w:rPr>
          <w:rFonts w:asciiTheme="minorHAnsi" w:eastAsiaTheme="minorHAnsi" w:hAnsiTheme="minorHAnsi"/>
          <w:sz w:val="22"/>
          <w:szCs w:val="22"/>
          <w:lang w:val="en-CA"/>
        </w:rPr>
        <w:t>also tend to report histories of abuse and adverse childhood events and struggle with concurrent mental health challenges</w:t>
      </w:r>
      <w:r w:rsidR="00A97FC8">
        <w:rPr>
          <w:rFonts w:asciiTheme="minorHAnsi" w:eastAsiaTheme="minorHAnsi" w:hAnsiTheme="minorHAnsi"/>
          <w:sz w:val="22"/>
          <w:szCs w:val="22"/>
          <w:lang w:val="en-CA"/>
        </w:rPr>
        <w:t xml:space="preserve">—including PTSD and the effects of complex trauma—that </w:t>
      </w:r>
      <w:r w:rsidR="00F558D9">
        <w:rPr>
          <w:rFonts w:asciiTheme="minorHAnsi" w:eastAsiaTheme="minorHAnsi" w:hAnsiTheme="minorHAnsi"/>
          <w:sz w:val="22"/>
          <w:szCs w:val="22"/>
          <w:lang w:val="en-CA"/>
        </w:rPr>
        <w:t xml:space="preserve">may reduce the effectiveness of standard treatment for substance use disorders (Ford, Hawke, </w:t>
      </w:r>
      <w:proofErr w:type="spellStart"/>
      <w:r w:rsidR="00F558D9">
        <w:rPr>
          <w:rFonts w:asciiTheme="minorHAnsi" w:eastAsiaTheme="minorHAnsi" w:hAnsiTheme="minorHAnsi"/>
          <w:sz w:val="22"/>
          <w:szCs w:val="22"/>
          <w:lang w:val="en-CA"/>
        </w:rPr>
        <w:t>Alessi</w:t>
      </w:r>
      <w:proofErr w:type="spellEnd"/>
      <w:r w:rsidR="00F558D9">
        <w:rPr>
          <w:rFonts w:asciiTheme="minorHAnsi" w:eastAsiaTheme="minorHAnsi" w:hAnsiTheme="minorHAnsi"/>
          <w:sz w:val="22"/>
          <w:szCs w:val="22"/>
          <w:lang w:val="en-CA"/>
        </w:rPr>
        <w:t xml:space="preserve">, </w:t>
      </w:r>
      <w:proofErr w:type="spellStart"/>
      <w:r w:rsidR="00F558D9">
        <w:rPr>
          <w:rFonts w:asciiTheme="minorHAnsi" w:eastAsiaTheme="minorHAnsi" w:hAnsiTheme="minorHAnsi"/>
          <w:sz w:val="22"/>
          <w:szCs w:val="22"/>
          <w:lang w:val="en-CA"/>
        </w:rPr>
        <w:t>Ledgerwood</w:t>
      </w:r>
      <w:proofErr w:type="spellEnd"/>
      <w:r w:rsidR="00F558D9">
        <w:rPr>
          <w:rFonts w:asciiTheme="minorHAnsi" w:eastAsiaTheme="minorHAnsi" w:hAnsiTheme="minorHAnsi"/>
          <w:sz w:val="22"/>
          <w:szCs w:val="22"/>
          <w:lang w:val="en-CA"/>
        </w:rPr>
        <w:t xml:space="preserve"> &amp; </w:t>
      </w:r>
      <w:proofErr w:type="spellStart"/>
      <w:r w:rsidR="00F558D9">
        <w:rPr>
          <w:rFonts w:asciiTheme="minorHAnsi" w:eastAsiaTheme="minorHAnsi" w:hAnsiTheme="minorHAnsi"/>
          <w:sz w:val="22"/>
          <w:szCs w:val="22"/>
          <w:lang w:val="en-CA"/>
        </w:rPr>
        <w:t>Petry</w:t>
      </w:r>
      <w:proofErr w:type="spellEnd"/>
      <w:r w:rsidR="00F558D9">
        <w:rPr>
          <w:rFonts w:asciiTheme="minorHAnsi" w:eastAsiaTheme="minorHAnsi" w:hAnsiTheme="minorHAnsi"/>
          <w:sz w:val="22"/>
          <w:szCs w:val="22"/>
          <w:lang w:val="en-CA"/>
        </w:rPr>
        <w:t xml:space="preserve">, 2007; Shane, Diamond, </w:t>
      </w:r>
      <w:proofErr w:type="spellStart"/>
      <w:r w:rsidR="00F558D9">
        <w:rPr>
          <w:rFonts w:asciiTheme="minorHAnsi" w:eastAsiaTheme="minorHAnsi" w:hAnsiTheme="minorHAnsi"/>
          <w:sz w:val="22"/>
          <w:szCs w:val="22"/>
          <w:lang w:val="en-CA"/>
        </w:rPr>
        <w:t>Mensinger</w:t>
      </w:r>
      <w:proofErr w:type="spellEnd"/>
      <w:r w:rsidR="00F558D9">
        <w:rPr>
          <w:rFonts w:asciiTheme="minorHAnsi" w:eastAsiaTheme="minorHAnsi" w:hAnsiTheme="minorHAnsi"/>
          <w:sz w:val="22"/>
          <w:szCs w:val="22"/>
          <w:lang w:val="en-CA"/>
        </w:rPr>
        <w:t xml:space="preserve">, </w:t>
      </w:r>
      <w:proofErr w:type="spellStart"/>
      <w:r w:rsidR="00F558D9">
        <w:rPr>
          <w:rFonts w:asciiTheme="minorHAnsi" w:eastAsiaTheme="minorHAnsi" w:hAnsiTheme="minorHAnsi"/>
          <w:sz w:val="22"/>
          <w:szCs w:val="22"/>
          <w:lang w:val="en-CA"/>
        </w:rPr>
        <w:t>Shera</w:t>
      </w:r>
      <w:proofErr w:type="spellEnd"/>
      <w:r w:rsidR="00F558D9">
        <w:rPr>
          <w:rFonts w:asciiTheme="minorHAnsi" w:eastAsiaTheme="minorHAnsi" w:hAnsiTheme="minorHAnsi"/>
          <w:sz w:val="22"/>
          <w:szCs w:val="22"/>
          <w:lang w:val="en-CA"/>
        </w:rPr>
        <w:t xml:space="preserve"> &amp; </w:t>
      </w:r>
      <w:proofErr w:type="spellStart"/>
      <w:r w:rsidR="00F558D9">
        <w:rPr>
          <w:rFonts w:asciiTheme="minorHAnsi" w:eastAsiaTheme="minorHAnsi" w:hAnsiTheme="minorHAnsi"/>
          <w:sz w:val="22"/>
          <w:szCs w:val="22"/>
          <w:lang w:val="en-CA"/>
        </w:rPr>
        <w:t>Wintersteen</w:t>
      </w:r>
      <w:proofErr w:type="spellEnd"/>
      <w:r w:rsidR="00F558D9">
        <w:rPr>
          <w:rFonts w:asciiTheme="minorHAnsi" w:eastAsiaTheme="minorHAnsi" w:hAnsiTheme="minorHAnsi"/>
          <w:sz w:val="22"/>
          <w:szCs w:val="22"/>
          <w:lang w:val="en-CA"/>
        </w:rPr>
        <w:t>, 2006).</w:t>
      </w:r>
    </w:p>
    <w:p w:rsidR="007008C7" w:rsidRDefault="007008C7" w:rsidP="00F83436">
      <w:pPr>
        <w:pStyle w:val="NormalWeb"/>
        <w:spacing w:before="0" w:beforeAutospacing="0" w:after="0" w:afterAutospacing="0"/>
        <w:rPr>
          <w:rFonts w:asciiTheme="minorHAnsi" w:eastAsiaTheme="minorHAnsi" w:hAnsiTheme="minorHAnsi"/>
          <w:sz w:val="22"/>
          <w:szCs w:val="22"/>
          <w:lang w:val="en-CA"/>
        </w:rPr>
      </w:pPr>
    </w:p>
    <w:p w:rsidR="00386FB5" w:rsidRDefault="00386FB5" w:rsidP="00F83436">
      <w:pPr>
        <w:pStyle w:val="NormalWeb"/>
        <w:spacing w:before="0" w:beforeAutospacing="0" w:after="0" w:afterAutospacing="0"/>
        <w:rPr>
          <w:rFonts w:asciiTheme="minorHAnsi" w:eastAsiaTheme="minorHAnsi" w:hAnsiTheme="minorHAnsi"/>
          <w:sz w:val="22"/>
          <w:szCs w:val="22"/>
          <w:lang w:val="en-CA"/>
        </w:rPr>
      </w:pPr>
      <w:r>
        <w:rPr>
          <w:rFonts w:asciiTheme="minorHAnsi" w:eastAsiaTheme="minorHAnsi" w:hAnsiTheme="minorHAnsi"/>
          <w:sz w:val="22"/>
          <w:szCs w:val="22"/>
          <w:lang w:val="en-CA"/>
        </w:rPr>
        <w:t xml:space="preserve">A growing body of research has established that youth who have experienced chronic trauma exposure such as abuse, </w:t>
      </w:r>
      <w:r w:rsidR="001779C6">
        <w:rPr>
          <w:rFonts w:asciiTheme="minorHAnsi" w:eastAsiaTheme="minorHAnsi" w:hAnsiTheme="minorHAnsi"/>
          <w:sz w:val="22"/>
          <w:szCs w:val="22"/>
          <w:lang w:val="en-CA"/>
        </w:rPr>
        <w:t xml:space="preserve">neglect, </w:t>
      </w:r>
      <w:r w:rsidR="00A57CDA">
        <w:rPr>
          <w:rFonts w:asciiTheme="minorHAnsi" w:eastAsiaTheme="minorHAnsi" w:hAnsiTheme="minorHAnsi"/>
          <w:sz w:val="22"/>
          <w:szCs w:val="22"/>
          <w:lang w:val="en-CA"/>
        </w:rPr>
        <w:t xml:space="preserve">intergenerational trauma </w:t>
      </w:r>
      <w:r w:rsidR="001779C6">
        <w:rPr>
          <w:rFonts w:asciiTheme="minorHAnsi" w:eastAsiaTheme="minorHAnsi" w:hAnsiTheme="minorHAnsi"/>
          <w:sz w:val="22"/>
          <w:szCs w:val="22"/>
          <w:lang w:val="en-CA"/>
        </w:rPr>
        <w:t xml:space="preserve">or </w:t>
      </w:r>
      <w:r>
        <w:rPr>
          <w:rFonts w:asciiTheme="minorHAnsi" w:eastAsiaTheme="minorHAnsi" w:hAnsiTheme="minorHAnsi"/>
          <w:sz w:val="22"/>
          <w:szCs w:val="22"/>
          <w:lang w:val="en-CA"/>
        </w:rPr>
        <w:t>traumatic loss often experience</w:t>
      </w:r>
      <w:r w:rsidR="001779C6">
        <w:rPr>
          <w:rFonts w:asciiTheme="minorHAnsi" w:eastAsiaTheme="minorHAnsi" w:hAnsiTheme="minorHAnsi"/>
          <w:sz w:val="22"/>
          <w:szCs w:val="22"/>
          <w:lang w:val="en-CA"/>
        </w:rPr>
        <w:t xml:space="preserve"> significant emotional </w:t>
      </w:r>
      <w:proofErr w:type="spellStart"/>
      <w:r w:rsidR="001779C6">
        <w:rPr>
          <w:rFonts w:asciiTheme="minorHAnsi" w:eastAsiaTheme="minorHAnsi" w:hAnsiTheme="minorHAnsi"/>
          <w:sz w:val="22"/>
          <w:szCs w:val="22"/>
          <w:lang w:val="en-CA"/>
        </w:rPr>
        <w:t>dysregulation</w:t>
      </w:r>
      <w:proofErr w:type="spellEnd"/>
      <w:r w:rsidR="001779C6">
        <w:rPr>
          <w:rFonts w:asciiTheme="minorHAnsi" w:eastAsiaTheme="minorHAnsi" w:hAnsiTheme="minorHAnsi"/>
          <w:sz w:val="22"/>
          <w:szCs w:val="22"/>
          <w:lang w:val="en-CA"/>
        </w:rPr>
        <w:t xml:space="preserve"> and attachment difficulties</w:t>
      </w:r>
      <w:r w:rsidR="00A57CDA">
        <w:rPr>
          <w:rFonts w:asciiTheme="minorHAnsi" w:eastAsiaTheme="minorHAnsi" w:hAnsiTheme="minorHAnsi"/>
          <w:sz w:val="22"/>
          <w:szCs w:val="22"/>
          <w:lang w:val="en-CA"/>
        </w:rPr>
        <w:t>,</w:t>
      </w:r>
      <w:r w:rsidR="001779C6">
        <w:rPr>
          <w:rFonts w:asciiTheme="minorHAnsi" w:eastAsiaTheme="minorHAnsi" w:hAnsiTheme="minorHAnsi"/>
          <w:sz w:val="22"/>
          <w:szCs w:val="22"/>
          <w:lang w:val="en-CA"/>
        </w:rPr>
        <w:t xml:space="preserve"> impaired executive functions (e.g., problem solving), impulse control and cognitive processes</w:t>
      </w:r>
      <w:r w:rsidR="00F731AB">
        <w:rPr>
          <w:rFonts w:asciiTheme="minorHAnsi" w:eastAsiaTheme="minorHAnsi" w:hAnsiTheme="minorHAnsi"/>
          <w:sz w:val="22"/>
          <w:szCs w:val="22"/>
          <w:lang w:val="en-CA"/>
        </w:rPr>
        <w:t>, and that such youth respond best to trauma-focused treatment</w:t>
      </w:r>
      <w:r w:rsidR="00861895">
        <w:rPr>
          <w:rFonts w:asciiTheme="minorHAnsi" w:eastAsiaTheme="minorHAnsi" w:hAnsiTheme="minorHAnsi"/>
          <w:sz w:val="22"/>
          <w:szCs w:val="22"/>
          <w:lang w:val="en-CA"/>
        </w:rPr>
        <w:t xml:space="preserve"> </w:t>
      </w:r>
    </w:p>
    <w:p w:rsidR="00386FB5" w:rsidRDefault="00386FB5" w:rsidP="00F83436">
      <w:pPr>
        <w:pStyle w:val="NormalWeb"/>
        <w:spacing w:before="0" w:beforeAutospacing="0" w:after="0" w:afterAutospacing="0"/>
        <w:rPr>
          <w:rFonts w:asciiTheme="minorHAnsi" w:eastAsiaTheme="minorHAnsi" w:hAnsiTheme="minorHAnsi"/>
          <w:sz w:val="22"/>
          <w:szCs w:val="22"/>
          <w:lang w:val="en-CA"/>
        </w:rPr>
      </w:pPr>
    </w:p>
    <w:p w:rsidR="00A532D7" w:rsidRDefault="00A532D7" w:rsidP="00F83436">
      <w:pPr>
        <w:pStyle w:val="NormalWeb"/>
        <w:spacing w:before="0" w:beforeAutospacing="0" w:after="0" w:afterAutospacing="0"/>
        <w:rPr>
          <w:rFonts w:asciiTheme="minorHAnsi" w:eastAsiaTheme="minorHAnsi" w:hAnsiTheme="minorHAnsi"/>
          <w:sz w:val="22"/>
          <w:szCs w:val="22"/>
          <w:lang w:val="en-CA"/>
        </w:rPr>
      </w:pPr>
      <w:r>
        <w:rPr>
          <w:rFonts w:asciiTheme="minorHAnsi" w:eastAsiaTheme="minorHAnsi" w:hAnsiTheme="minorHAnsi"/>
          <w:sz w:val="22"/>
          <w:szCs w:val="22"/>
          <w:lang w:val="en-CA"/>
        </w:rPr>
        <w:t>Yoga Outreach</w:t>
      </w:r>
      <w:r w:rsidR="002A1FE7">
        <w:rPr>
          <w:rFonts w:asciiTheme="minorHAnsi" w:eastAsiaTheme="minorHAnsi" w:hAnsiTheme="minorHAnsi"/>
          <w:sz w:val="22"/>
          <w:szCs w:val="22"/>
          <w:lang w:val="en-CA"/>
        </w:rPr>
        <w:t xml:space="preserve"> is a non-profit organization that </w:t>
      </w:r>
      <w:r w:rsidR="000B3F30">
        <w:rPr>
          <w:rFonts w:asciiTheme="minorHAnsi" w:eastAsiaTheme="minorHAnsi" w:hAnsiTheme="minorHAnsi"/>
          <w:sz w:val="22"/>
          <w:szCs w:val="22"/>
          <w:lang w:val="en-CA"/>
        </w:rPr>
        <w:t xml:space="preserve">has been bringing a </w:t>
      </w:r>
      <w:r w:rsidR="002A1FE7">
        <w:rPr>
          <w:rFonts w:asciiTheme="minorHAnsi" w:eastAsiaTheme="minorHAnsi" w:hAnsiTheme="minorHAnsi"/>
          <w:sz w:val="22"/>
          <w:szCs w:val="22"/>
          <w:lang w:val="en-CA"/>
        </w:rPr>
        <w:t xml:space="preserve">trauma-informed (also known as trauma-sensitive) yoga </w:t>
      </w:r>
      <w:r w:rsidR="000B3F30">
        <w:rPr>
          <w:rFonts w:asciiTheme="minorHAnsi" w:eastAsiaTheme="minorHAnsi" w:hAnsiTheme="minorHAnsi"/>
          <w:sz w:val="22"/>
          <w:szCs w:val="22"/>
          <w:lang w:val="en-CA"/>
        </w:rPr>
        <w:t xml:space="preserve">program </w:t>
      </w:r>
      <w:r w:rsidR="002A1FE7">
        <w:rPr>
          <w:rFonts w:asciiTheme="minorHAnsi" w:eastAsiaTheme="minorHAnsi" w:hAnsiTheme="minorHAnsi"/>
          <w:sz w:val="22"/>
          <w:szCs w:val="22"/>
          <w:lang w:val="en-CA"/>
        </w:rPr>
        <w:t>to justice-involved and at-risk youth</w:t>
      </w:r>
      <w:r w:rsidR="000B3F30">
        <w:rPr>
          <w:rFonts w:asciiTheme="minorHAnsi" w:eastAsiaTheme="minorHAnsi" w:hAnsiTheme="minorHAnsi"/>
          <w:sz w:val="22"/>
          <w:szCs w:val="22"/>
          <w:lang w:val="en-CA"/>
        </w:rPr>
        <w:t xml:space="preserve"> for the past 18 years</w:t>
      </w:r>
      <w:r w:rsidR="002A1FE7">
        <w:rPr>
          <w:rFonts w:asciiTheme="minorHAnsi" w:eastAsiaTheme="minorHAnsi" w:hAnsiTheme="minorHAnsi"/>
          <w:sz w:val="22"/>
          <w:szCs w:val="22"/>
          <w:lang w:val="en-CA"/>
        </w:rPr>
        <w:t xml:space="preserve">. Based on its years of work with </w:t>
      </w:r>
      <w:r w:rsidR="004D6CDC">
        <w:rPr>
          <w:rFonts w:asciiTheme="minorHAnsi" w:eastAsiaTheme="minorHAnsi" w:hAnsiTheme="minorHAnsi"/>
          <w:sz w:val="22"/>
          <w:szCs w:val="22"/>
          <w:lang w:val="en-CA"/>
        </w:rPr>
        <w:t xml:space="preserve">at-risk </w:t>
      </w:r>
      <w:r w:rsidR="000B3F30">
        <w:rPr>
          <w:rFonts w:asciiTheme="minorHAnsi" w:eastAsiaTheme="minorHAnsi" w:hAnsiTheme="minorHAnsi"/>
          <w:sz w:val="22"/>
          <w:szCs w:val="22"/>
          <w:lang w:val="en-CA"/>
        </w:rPr>
        <w:t>youth</w:t>
      </w:r>
      <w:r w:rsidR="004D6CDC">
        <w:rPr>
          <w:rFonts w:asciiTheme="minorHAnsi" w:eastAsiaTheme="minorHAnsi" w:hAnsiTheme="minorHAnsi"/>
          <w:sz w:val="22"/>
          <w:szCs w:val="22"/>
          <w:lang w:val="en-CA"/>
        </w:rPr>
        <w:t>,</w:t>
      </w:r>
      <w:r w:rsidR="000B3F30">
        <w:rPr>
          <w:rFonts w:asciiTheme="minorHAnsi" w:eastAsiaTheme="minorHAnsi" w:hAnsiTheme="minorHAnsi"/>
          <w:sz w:val="22"/>
          <w:szCs w:val="22"/>
          <w:lang w:val="en-CA"/>
        </w:rPr>
        <w:t xml:space="preserve"> and supported by empirical research, Yoga Outreach believes that combining a trauma-informed intervention with other substance treatment programs will potentially </w:t>
      </w:r>
      <w:r w:rsidR="004D6CDC">
        <w:rPr>
          <w:rFonts w:asciiTheme="minorHAnsi" w:eastAsiaTheme="minorHAnsi" w:hAnsiTheme="minorHAnsi"/>
          <w:sz w:val="22"/>
          <w:szCs w:val="22"/>
          <w:lang w:val="en-CA"/>
        </w:rPr>
        <w:t xml:space="preserve">support and enhance the efficacy of other treatments and contribute to the long-term stability of these clients. </w:t>
      </w:r>
    </w:p>
    <w:p w:rsidR="00F83436" w:rsidRDefault="00F83436" w:rsidP="00F83436">
      <w:pPr>
        <w:pStyle w:val="NormalWeb"/>
        <w:spacing w:before="0" w:beforeAutospacing="0" w:after="0" w:afterAutospacing="0"/>
        <w:rPr>
          <w:rFonts w:asciiTheme="minorHAnsi" w:eastAsiaTheme="minorHAnsi" w:hAnsiTheme="minorHAnsi"/>
          <w:sz w:val="22"/>
          <w:szCs w:val="22"/>
          <w:lang w:val="en-CA"/>
        </w:rPr>
      </w:pPr>
    </w:p>
    <w:p w:rsidR="004D6CDC" w:rsidRDefault="004D6CDC" w:rsidP="00F83436">
      <w:pPr>
        <w:pStyle w:val="NormalWeb"/>
        <w:spacing w:before="0" w:beforeAutospacing="0" w:after="0" w:afterAutospacing="0"/>
        <w:rPr>
          <w:rFonts w:asciiTheme="minorHAnsi" w:eastAsiaTheme="minorHAnsi" w:hAnsiTheme="minorHAnsi"/>
          <w:sz w:val="22"/>
          <w:szCs w:val="22"/>
          <w:lang w:val="en-CA"/>
        </w:rPr>
      </w:pPr>
      <w:r>
        <w:rPr>
          <w:rFonts w:asciiTheme="minorHAnsi" w:eastAsiaTheme="minorHAnsi" w:hAnsiTheme="minorHAnsi"/>
          <w:sz w:val="22"/>
          <w:szCs w:val="22"/>
          <w:lang w:val="en-CA"/>
        </w:rPr>
        <w:t xml:space="preserve">This literature review </w:t>
      </w:r>
      <w:r w:rsidR="00140C22">
        <w:rPr>
          <w:rFonts w:asciiTheme="minorHAnsi" w:eastAsiaTheme="minorHAnsi" w:hAnsiTheme="minorHAnsi"/>
          <w:sz w:val="22"/>
          <w:szCs w:val="22"/>
          <w:lang w:val="en-CA"/>
        </w:rPr>
        <w:t xml:space="preserve">will scan the existing literature to determine whether trauma-informed yoga (or other trauma-informed interventions such as Mindfulness-Based Stress Reduction) enhances drug treatment outcomes for youth. It will also </w:t>
      </w:r>
      <w:r w:rsidR="00514957">
        <w:rPr>
          <w:rFonts w:asciiTheme="minorHAnsi" w:eastAsiaTheme="minorHAnsi" w:hAnsiTheme="minorHAnsi"/>
          <w:sz w:val="22"/>
          <w:szCs w:val="22"/>
          <w:lang w:val="en-CA"/>
        </w:rPr>
        <w:t>outline the prevalence of substance use and criminal justice involvement among youth</w:t>
      </w:r>
      <w:r w:rsidR="0095035A">
        <w:rPr>
          <w:rFonts w:asciiTheme="minorHAnsi" w:eastAsiaTheme="minorHAnsi" w:hAnsiTheme="minorHAnsi"/>
          <w:sz w:val="22"/>
          <w:szCs w:val="22"/>
          <w:lang w:val="en-CA"/>
        </w:rPr>
        <w:t>;</w:t>
      </w:r>
      <w:r w:rsidR="00514957">
        <w:rPr>
          <w:rFonts w:asciiTheme="minorHAnsi" w:eastAsiaTheme="minorHAnsi" w:hAnsiTheme="minorHAnsi"/>
          <w:sz w:val="22"/>
          <w:szCs w:val="22"/>
          <w:lang w:val="en-CA"/>
        </w:rPr>
        <w:t xml:space="preserve"> briefly outline </w:t>
      </w:r>
      <w:r w:rsidR="0095035A">
        <w:rPr>
          <w:rFonts w:asciiTheme="minorHAnsi" w:eastAsiaTheme="minorHAnsi" w:hAnsiTheme="minorHAnsi"/>
          <w:sz w:val="22"/>
          <w:szCs w:val="22"/>
          <w:lang w:val="en-CA"/>
        </w:rPr>
        <w:t>how</w:t>
      </w:r>
      <w:r w:rsidR="00514957">
        <w:rPr>
          <w:rFonts w:asciiTheme="minorHAnsi" w:eastAsiaTheme="minorHAnsi" w:hAnsiTheme="minorHAnsi"/>
          <w:sz w:val="22"/>
          <w:szCs w:val="22"/>
          <w:lang w:val="en-CA"/>
        </w:rPr>
        <w:t xml:space="preserve"> traumatic stress and related symptoms create additional obstacles for many at-risk youth</w:t>
      </w:r>
      <w:r w:rsidR="0095035A">
        <w:rPr>
          <w:rFonts w:asciiTheme="minorHAnsi" w:eastAsiaTheme="minorHAnsi" w:hAnsiTheme="minorHAnsi"/>
          <w:sz w:val="22"/>
          <w:szCs w:val="22"/>
          <w:lang w:val="en-CA"/>
        </w:rPr>
        <w:t xml:space="preserve"> and why a trauma-informed approach is critical to enhancing traumatized youths</w:t>
      </w:r>
      <w:r w:rsidR="003F7798">
        <w:rPr>
          <w:rFonts w:asciiTheme="minorHAnsi" w:eastAsiaTheme="minorHAnsi" w:hAnsiTheme="minorHAnsi"/>
          <w:sz w:val="22"/>
          <w:szCs w:val="22"/>
          <w:lang w:val="en-CA"/>
        </w:rPr>
        <w:t>’</w:t>
      </w:r>
      <w:r w:rsidR="0095035A">
        <w:rPr>
          <w:rFonts w:asciiTheme="minorHAnsi" w:eastAsiaTheme="minorHAnsi" w:hAnsiTheme="minorHAnsi"/>
          <w:sz w:val="22"/>
          <w:szCs w:val="22"/>
          <w:lang w:val="en-CA"/>
        </w:rPr>
        <w:t xml:space="preserve"> </w:t>
      </w:r>
      <w:r w:rsidR="000B22E4">
        <w:rPr>
          <w:rFonts w:asciiTheme="minorHAnsi" w:eastAsiaTheme="minorHAnsi" w:hAnsiTheme="minorHAnsi"/>
          <w:sz w:val="22"/>
          <w:szCs w:val="22"/>
          <w:lang w:val="en-CA"/>
        </w:rPr>
        <w:t>treatment outcomes; and consider</w:t>
      </w:r>
      <w:r w:rsidR="00140C22">
        <w:rPr>
          <w:rFonts w:asciiTheme="minorHAnsi" w:eastAsiaTheme="minorHAnsi" w:hAnsiTheme="minorHAnsi"/>
          <w:sz w:val="22"/>
          <w:szCs w:val="22"/>
          <w:lang w:val="en-CA"/>
        </w:rPr>
        <w:t xml:space="preserve"> the question of cultural relevancy </w:t>
      </w:r>
      <w:proofErr w:type="spellStart"/>
      <w:r w:rsidR="00514957">
        <w:rPr>
          <w:rFonts w:asciiTheme="minorHAnsi" w:eastAsiaTheme="minorHAnsi" w:hAnsiTheme="minorHAnsi"/>
          <w:sz w:val="22"/>
          <w:szCs w:val="22"/>
          <w:lang w:val="en-CA"/>
        </w:rPr>
        <w:t>vis</w:t>
      </w:r>
      <w:proofErr w:type="spellEnd"/>
      <w:r w:rsidR="00514957">
        <w:rPr>
          <w:rFonts w:asciiTheme="minorHAnsi" w:eastAsiaTheme="minorHAnsi" w:hAnsiTheme="minorHAnsi"/>
          <w:sz w:val="22"/>
          <w:szCs w:val="22"/>
          <w:lang w:val="en-CA"/>
        </w:rPr>
        <w:t>-a-</w:t>
      </w:r>
      <w:proofErr w:type="spellStart"/>
      <w:r w:rsidR="00514957">
        <w:rPr>
          <w:rFonts w:asciiTheme="minorHAnsi" w:eastAsiaTheme="minorHAnsi" w:hAnsiTheme="minorHAnsi"/>
          <w:sz w:val="22"/>
          <w:szCs w:val="22"/>
          <w:lang w:val="en-CA"/>
        </w:rPr>
        <w:t>vis</w:t>
      </w:r>
      <w:proofErr w:type="spellEnd"/>
      <w:r w:rsidR="00514957">
        <w:rPr>
          <w:rFonts w:asciiTheme="minorHAnsi" w:eastAsiaTheme="minorHAnsi" w:hAnsiTheme="minorHAnsi"/>
          <w:sz w:val="22"/>
          <w:szCs w:val="22"/>
          <w:lang w:val="en-CA"/>
        </w:rPr>
        <w:t xml:space="preserve"> providing culturally appropriate treatment programs for Aboriginal youth. </w:t>
      </w:r>
    </w:p>
    <w:p w:rsidR="00680690" w:rsidRDefault="00680690" w:rsidP="00340D5D">
      <w:pPr>
        <w:autoSpaceDE w:val="0"/>
        <w:autoSpaceDN w:val="0"/>
        <w:adjustRightInd w:val="0"/>
        <w:spacing w:after="0" w:line="240" w:lineRule="auto"/>
        <w:rPr>
          <w:rFonts w:cs="Times New Roman"/>
        </w:rPr>
      </w:pPr>
    </w:p>
    <w:p w:rsidR="00340D5D" w:rsidRPr="00F27FA9" w:rsidRDefault="000B22E4" w:rsidP="00340D5D">
      <w:pPr>
        <w:autoSpaceDE w:val="0"/>
        <w:autoSpaceDN w:val="0"/>
        <w:adjustRightInd w:val="0"/>
        <w:spacing w:after="0" w:line="240" w:lineRule="auto"/>
        <w:rPr>
          <w:rFonts w:cs="Times New Roman"/>
        </w:rPr>
      </w:pPr>
      <w:r>
        <w:rPr>
          <w:rFonts w:cs="Times New Roman"/>
        </w:rPr>
        <w:t xml:space="preserve">Surveys such as the </w:t>
      </w:r>
      <w:r w:rsidRPr="00F27FA9">
        <w:rPr>
          <w:rFonts w:cs="HelveticaNeueLTStd-Th"/>
          <w:i/>
        </w:rPr>
        <w:t xml:space="preserve">Canadian Alcohol and Drug Use Monitoring Survey </w:t>
      </w:r>
      <w:r w:rsidRPr="00F27FA9">
        <w:rPr>
          <w:rFonts w:cs="HelveticaNeueLTStd-Th"/>
        </w:rPr>
        <w:t>(CADU</w:t>
      </w:r>
      <w:r>
        <w:rPr>
          <w:rFonts w:cs="HelveticaNeueLTStd-Th"/>
        </w:rPr>
        <w:t>M</w:t>
      </w:r>
      <w:r w:rsidRPr="00F27FA9">
        <w:rPr>
          <w:rFonts w:cs="HelveticaNeueLTStd-Th"/>
        </w:rPr>
        <w:t>S)</w:t>
      </w:r>
      <w:r>
        <w:rPr>
          <w:rFonts w:cs="HelveticaNeueLTStd-Th"/>
        </w:rPr>
        <w:t xml:space="preserve">, </w:t>
      </w:r>
      <w:r>
        <w:rPr>
          <w:rFonts w:cs="HelveticaNeueLTStd-Th"/>
          <w:i/>
        </w:rPr>
        <w:t>Youth Smoking Survey</w:t>
      </w:r>
      <w:r w:rsidR="00965AF2">
        <w:rPr>
          <w:rFonts w:cs="HelveticaNeueLTStd-Th"/>
          <w:i/>
        </w:rPr>
        <w:t xml:space="preserve"> </w:t>
      </w:r>
      <w:r w:rsidR="00965AF2">
        <w:rPr>
          <w:rFonts w:cs="HelveticaNeueLTStd-Th"/>
        </w:rPr>
        <w:t xml:space="preserve">(now called the </w:t>
      </w:r>
      <w:r w:rsidR="00965AF2">
        <w:rPr>
          <w:rFonts w:cs="HelveticaNeueLTStd-Th"/>
          <w:i/>
        </w:rPr>
        <w:t>Canadian Student Tobacco, Alcohol and Drugs Survey, or CSTADS)</w:t>
      </w:r>
      <w:r>
        <w:rPr>
          <w:rFonts w:cs="HelveticaNeueLTStd-Th"/>
          <w:i/>
        </w:rPr>
        <w:t>,</w:t>
      </w:r>
      <w:r>
        <w:rPr>
          <w:rFonts w:cs="Times New Roman"/>
        </w:rPr>
        <w:t xml:space="preserve"> </w:t>
      </w:r>
      <w:r w:rsidR="00965AF2">
        <w:rPr>
          <w:rFonts w:cs="Times New Roman"/>
        </w:rPr>
        <w:t xml:space="preserve">and the BC </w:t>
      </w:r>
      <w:r w:rsidR="00965AF2">
        <w:rPr>
          <w:rFonts w:cs="Times New Roman"/>
          <w:i/>
        </w:rPr>
        <w:t xml:space="preserve">Adolescent Health </w:t>
      </w:r>
      <w:r w:rsidR="00965AF2" w:rsidRPr="00965AF2">
        <w:rPr>
          <w:rFonts w:cs="Times New Roman"/>
          <w:i/>
        </w:rPr>
        <w:t>Survey</w:t>
      </w:r>
      <w:r w:rsidR="00965AF2">
        <w:rPr>
          <w:rFonts w:cs="Times New Roman"/>
        </w:rPr>
        <w:t xml:space="preserve"> consistently indicate that the three substances most often </w:t>
      </w:r>
      <w:r w:rsidR="00B70FE9">
        <w:rPr>
          <w:rFonts w:cs="Times New Roman"/>
        </w:rPr>
        <w:t xml:space="preserve">ever tried or </w:t>
      </w:r>
      <w:r w:rsidR="00965AF2">
        <w:rPr>
          <w:rFonts w:cs="Times New Roman"/>
        </w:rPr>
        <w:t xml:space="preserve">used </w:t>
      </w:r>
      <w:r w:rsidR="00965AF2">
        <w:rPr>
          <w:rFonts w:cs="Times New Roman"/>
        </w:rPr>
        <w:lastRenderedPageBreak/>
        <w:t>by youth</w:t>
      </w:r>
      <w:r w:rsidR="00B70FE9">
        <w:rPr>
          <w:rFonts w:cs="Times New Roman"/>
        </w:rPr>
        <w:t xml:space="preserve"> </w:t>
      </w:r>
      <w:r w:rsidR="00965AF2">
        <w:rPr>
          <w:rFonts w:cs="Times New Roman"/>
        </w:rPr>
        <w:t xml:space="preserve">are tobacco, alcohol, and marijuana (cannabis). A recent CSTAD survey indicates that </w:t>
      </w:r>
      <w:r w:rsidR="00B70FE9">
        <w:rPr>
          <w:rFonts w:cs="Times New Roman"/>
        </w:rPr>
        <w:t>some students in grades 7 -12 have also</w:t>
      </w:r>
      <w:r w:rsidR="00965AF2">
        <w:rPr>
          <w:rFonts w:cs="Times New Roman"/>
        </w:rPr>
        <w:t xml:space="preserve"> us</w:t>
      </w:r>
      <w:r w:rsidR="00B70FE9">
        <w:rPr>
          <w:rFonts w:cs="Times New Roman"/>
        </w:rPr>
        <w:t xml:space="preserve">ed </w:t>
      </w:r>
      <w:proofErr w:type="spellStart"/>
      <w:r w:rsidR="00B70FE9">
        <w:rPr>
          <w:rFonts w:cs="Times New Roman"/>
        </w:rPr>
        <w:t>dextromethorphan</w:t>
      </w:r>
      <w:proofErr w:type="spellEnd"/>
      <w:r w:rsidR="00B70FE9">
        <w:rPr>
          <w:rFonts w:cs="Times New Roman"/>
        </w:rPr>
        <w:t>, the active ingredient in over-the-counter cough medicine to get high</w:t>
      </w:r>
      <w:r w:rsidR="00333557">
        <w:rPr>
          <w:rFonts w:cs="Times New Roman"/>
        </w:rPr>
        <w:t xml:space="preserve"> (Health Canada, 2014)</w:t>
      </w:r>
      <w:r w:rsidR="00B70FE9">
        <w:rPr>
          <w:rFonts w:cs="Times New Roman"/>
        </w:rPr>
        <w:t>.</w:t>
      </w:r>
      <w:r>
        <w:rPr>
          <w:rFonts w:cs="Times New Roman"/>
        </w:rPr>
        <w:t xml:space="preserve"> </w:t>
      </w:r>
      <w:r w:rsidR="00340D5D" w:rsidRPr="00F27FA9">
        <w:rPr>
          <w:rFonts w:cs="Times New Roman"/>
        </w:rPr>
        <w:t>For the purposes of this literature review, “substances” include prescription medications</w:t>
      </w:r>
      <w:r>
        <w:rPr>
          <w:rFonts w:cs="Times New Roman"/>
        </w:rPr>
        <w:t xml:space="preserve"> used without a doctor’s consent</w:t>
      </w:r>
      <w:r w:rsidR="00340D5D" w:rsidRPr="00F27FA9">
        <w:rPr>
          <w:rFonts w:cs="Times New Roman"/>
        </w:rPr>
        <w:t>, controlled substances identified by federal legislation</w:t>
      </w:r>
      <w:r w:rsidR="00CB7E6E" w:rsidRPr="00F27FA9">
        <w:rPr>
          <w:rFonts w:cs="Times New Roman"/>
        </w:rPr>
        <w:t xml:space="preserve"> (e.g., </w:t>
      </w:r>
      <w:r>
        <w:rPr>
          <w:rFonts w:cs="Times New Roman"/>
        </w:rPr>
        <w:t xml:space="preserve">marijuana/cannabis, </w:t>
      </w:r>
      <w:r w:rsidR="00CB7E6E" w:rsidRPr="00F27FA9">
        <w:rPr>
          <w:rFonts w:cs="Times New Roman"/>
        </w:rPr>
        <w:t>heroin, coc</w:t>
      </w:r>
      <w:r w:rsidR="00756F41">
        <w:rPr>
          <w:rFonts w:cs="Times New Roman"/>
        </w:rPr>
        <w:t>aine, hallucinogens, methampheta</w:t>
      </w:r>
      <w:r w:rsidR="00CB7E6E" w:rsidRPr="00F27FA9">
        <w:rPr>
          <w:rFonts w:cs="Times New Roman"/>
        </w:rPr>
        <w:t xml:space="preserve">mines, </w:t>
      </w:r>
      <w:r>
        <w:rPr>
          <w:rFonts w:cs="Times New Roman"/>
        </w:rPr>
        <w:t xml:space="preserve">ecstasy, </w:t>
      </w:r>
      <w:proofErr w:type="spellStart"/>
      <w:r>
        <w:rPr>
          <w:rFonts w:cs="Times New Roman"/>
        </w:rPr>
        <w:t>ketamine</w:t>
      </w:r>
      <w:proofErr w:type="spellEnd"/>
      <w:r>
        <w:rPr>
          <w:rFonts w:cs="Times New Roman"/>
        </w:rPr>
        <w:t>, mushrooms</w:t>
      </w:r>
      <w:r w:rsidR="00B70FE9">
        <w:rPr>
          <w:rFonts w:cs="Times New Roman"/>
        </w:rPr>
        <w:t>, etc</w:t>
      </w:r>
      <w:r w:rsidR="00CB7E6E" w:rsidRPr="00F27FA9">
        <w:rPr>
          <w:rFonts w:cs="Times New Roman"/>
        </w:rPr>
        <w:t>)</w:t>
      </w:r>
      <w:r w:rsidR="00340D5D" w:rsidRPr="00F27FA9">
        <w:rPr>
          <w:rFonts w:cs="Times New Roman"/>
        </w:rPr>
        <w:t xml:space="preserve">, alcohol, solvents </w:t>
      </w:r>
      <w:r w:rsidR="00CB7E6E" w:rsidRPr="00F27FA9">
        <w:rPr>
          <w:rFonts w:cs="Times New Roman"/>
        </w:rPr>
        <w:t>or</w:t>
      </w:r>
      <w:r w:rsidR="00340D5D" w:rsidRPr="00F27FA9">
        <w:rPr>
          <w:rFonts w:cs="Times New Roman"/>
        </w:rPr>
        <w:t xml:space="preserve"> other substances not intended for </w:t>
      </w:r>
      <w:r w:rsidR="00CB7E6E" w:rsidRPr="00F27FA9">
        <w:rPr>
          <w:rFonts w:cs="Times New Roman"/>
        </w:rPr>
        <w:t>use as a psychoactive substance</w:t>
      </w:r>
      <w:r w:rsidR="00340D5D" w:rsidRPr="00F27FA9">
        <w:rPr>
          <w:rFonts w:cs="Times New Roman"/>
        </w:rPr>
        <w:t>.</w:t>
      </w:r>
      <w:r>
        <w:rPr>
          <w:rFonts w:cs="Times New Roman"/>
        </w:rPr>
        <w:t xml:space="preserve"> </w:t>
      </w:r>
    </w:p>
    <w:p w:rsidR="004F759D" w:rsidRPr="00F27FA9" w:rsidRDefault="004F759D" w:rsidP="00340D5D">
      <w:pPr>
        <w:autoSpaceDE w:val="0"/>
        <w:autoSpaceDN w:val="0"/>
        <w:adjustRightInd w:val="0"/>
        <w:spacing w:after="0" w:line="240" w:lineRule="auto"/>
        <w:rPr>
          <w:rFonts w:cs="Times New Roman"/>
        </w:rPr>
      </w:pPr>
    </w:p>
    <w:p w:rsidR="004F759D" w:rsidRPr="00F27FA9" w:rsidRDefault="004F759D" w:rsidP="00340D5D">
      <w:pPr>
        <w:autoSpaceDE w:val="0"/>
        <w:autoSpaceDN w:val="0"/>
        <w:adjustRightInd w:val="0"/>
        <w:spacing w:after="0" w:line="240" w:lineRule="auto"/>
        <w:rPr>
          <w:rFonts w:cs="Times New Roman"/>
        </w:rPr>
      </w:pPr>
      <w:r w:rsidRPr="00F27FA9">
        <w:rPr>
          <w:rFonts w:cs="Times New Roman"/>
        </w:rPr>
        <w:t xml:space="preserve">The broad definition of </w:t>
      </w:r>
      <w:r w:rsidR="0041458A">
        <w:rPr>
          <w:rFonts w:cs="Times New Roman"/>
        </w:rPr>
        <w:t xml:space="preserve">a </w:t>
      </w:r>
      <w:r w:rsidRPr="00F27FA9">
        <w:rPr>
          <w:rFonts w:cs="Times New Roman"/>
        </w:rPr>
        <w:t>youth is a person between 12and 24 years old</w:t>
      </w:r>
      <w:r w:rsidR="00BC4D22">
        <w:rPr>
          <w:rFonts w:cs="Times New Roman"/>
        </w:rPr>
        <w:t xml:space="preserve"> and includes both adolescents (12</w:t>
      </w:r>
      <w:r w:rsidR="0041458A">
        <w:rPr>
          <w:rFonts w:cs="Times New Roman"/>
        </w:rPr>
        <w:t xml:space="preserve"> </w:t>
      </w:r>
      <w:r w:rsidR="00BC4D22">
        <w:rPr>
          <w:rFonts w:cs="Times New Roman"/>
        </w:rPr>
        <w:t>-</w:t>
      </w:r>
      <w:r w:rsidR="0041458A">
        <w:rPr>
          <w:rFonts w:cs="Times New Roman"/>
        </w:rPr>
        <w:t xml:space="preserve"> </w:t>
      </w:r>
      <w:r w:rsidR="00BC4D22">
        <w:rPr>
          <w:rFonts w:cs="Times New Roman"/>
        </w:rPr>
        <w:t>17 years of age) and young adults (18-24 years of age)</w:t>
      </w:r>
      <w:r w:rsidRPr="00F27FA9">
        <w:rPr>
          <w:rFonts w:cs="Times New Roman"/>
        </w:rPr>
        <w:t xml:space="preserve">. Within Canada, the legal age at which a youth is considered an adult varies by province and ranges from 18 to </w:t>
      </w:r>
      <w:r w:rsidR="00CB7E6E" w:rsidRPr="00F27FA9">
        <w:rPr>
          <w:rFonts w:cs="Times New Roman"/>
        </w:rPr>
        <w:t>19</w:t>
      </w:r>
      <w:r w:rsidRPr="00F27FA9">
        <w:rPr>
          <w:rFonts w:cs="Times New Roman"/>
        </w:rPr>
        <w:t xml:space="preserve"> years of age. From a criminal justice perspective, Canada’s youth justice system applies to youth </w:t>
      </w:r>
      <w:r w:rsidR="000D6DEA" w:rsidRPr="00F27FA9">
        <w:rPr>
          <w:rFonts w:cs="Times New Roman"/>
        </w:rPr>
        <w:t>12 – 17 years of age</w:t>
      </w:r>
      <w:r w:rsidR="00CB7E6E" w:rsidRPr="00F27FA9">
        <w:rPr>
          <w:rFonts w:cs="Times New Roman"/>
        </w:rPr>
        <w:t>, although 18</w:t>
      </w:r>
      <w:r w:rsidR="00BC4D22">
        <w:rPr>
          <w:rFonts w:cs="Times New Roman"/>
        </w:rPr>
        <w:t>-</w:t>
      </w:r>
      <w:r w:rsidR="00352556">
        <w:rPr>
          <w:rFonts w:cs="Times New Roman"/>
        </w:rPr>
        <w:t xml:space="preserve"> and 19-year-old youth</w:t>
      </w:r>
      <w:r w:rsidR="00CB7E6E" w:rsidRPr="00F27FA9">
        <w:rPr>
          <w:rFonts w:cs="Times New Roman"/>
        </w:rPr>
        <w:t xml:space="preserve"> may be sentenced under the </w:t>
      </w:r>
      <w:r w:rsidR="00CB7E6E" w:rsidRPr="00F27FA9">
        <w:rPr>
          <w:rFonts w:cs="Times New Roman"/>
          <w:i/>
        </w:rPr>
        <w:t>Youth Criminal Justice Act</w:t>
      </w:r>
      <w:r w:rsidR="00CB7E6E" w:rsidRPr="00F27FA9">
        <w:rPr>
          <w:rFonts w:cs="Times New Roman"/>
        </w:rPr>
        <w:t xml:space="preserve"> if they were </w:t>
      </w:r>
      <w:r w:rsidR="0041458A">
        <w:rPr>
          <w:rFonts w:cs="Times New Roman"/>
        </w:rPr>
        <w:t>younger</w:t>
      </w:r>
      <w:r w:rsidR="00CB7E6E" w:rsidRPr="00F27FA9">
        <w:rPr>
          <w:rFonts w:cs="Times New Roman"/>
        </w:rPr>
        <w:t xml:space="preserve"> than </w:t>
      </w:r>
      <w:r w:rsidR="001B74CA">
        <w:rPr>
          <w:rFonts w:cs="Times New Roman"/>
        </w:rPr>
        <w:t>18</w:t>
      </w:r>
      <w:r w:rsidR="00CB7E6E" w:rsidRPr="00F27FA9">
        <w:rPr>
          <w:rFonts w:cs="Times New Roman"/>
        </w:rPr>
        <w:t xml:space="preserve"> years of age when they committed the offence</w:t>
      </w:r>
      <w:r w:rsidR="000D6DEA" w:rsidRPr="00F27FA9">
        <w:rPr>
          <w:rFonts w:cs="Times New Roman"/>
        </w:rPr>
        <w:t>.</w:t>
      </w:r>
      <w:r w:rsidRPr="00F27FA9">
        <w:rPr>
          <w:rFonts w:cs="Times New Roman"/>
        </w:rPr>
        <w:t xml:space="preserve"> </w:t>
      </w:r>
    </w:p>
    <w:p w:rsidR="00340D5D" w:rsidRPr="00F27FA9" w:rsidRDefault="00340D5D" w:rsidP="0033359F">
      <w:pPr>
        <w:autoSpaceDE w:val="0"/>
        <w:autoSpaceDN w:val="0"/>
        <w:adjustRightInd w:val="0"/>
        <w:spacing w:after="0" w:line="240" w:lineRule="auto"/>
        <w:rPr>
          <w:b/>
        </w:rPr>
      </w:pPr>
    </w:p>
    <w:p w:rsidR="00FA156B" w:rsidRPr="00F83436" w:rsidRDefault="001B74CA" w:rsidP="00F83436">
      <w:pPr>
        <w:autoSpaceDE w:val="0"/>
        <w:autoSpaceDN w:val="0"/>
        <w:adjustRightInd w:val="0"/>
        <w:spacing w:after="0" w:line="240" w:lineRule="auto"/>
        <w:rPr>
          <w:b/>
        </w:rPr>
      </w:pPr>
      <w:r w:rsidRPr="00F83436">
        <w:rPr>
          <w:b/>
        </w:rPr>
        <w:t>P</w:t>
      </w:r>
      <w:r w:rsidR="003002E8" w:rsidRPr="00F83436">
        <w:rPr>
          <w:b/>
        </w:rPr>
        <w:t>revalence</w:t>
      </w:r>
      <w:r w:rsidR="00FA156B" w:rsidRPr="00F83436">
        <w:rPr>
          <w:b/>
        </w:rPr>
        <w:t xml:space="preserve"> of Substance Use by Youth</w:t>
      </w:r>
      <w:r w:rsidRPr="00F83436">
        <w:rPr>
          <w:b/>
        </w:rPr>
        <w:t>, At-Risk Youth</w:t>
      </w:r>
      <w:r w:rsidR="00FA156B" w:rsidRPr="00F83436">
        <w:rPr>
          <w:b/>
        </w:rPr>
        <w:t xml:space="preserve">, </w:t>
      </w:r>
      <w:r w:rsidRPr="00F83436">
        <w:rPr>
          <w:b/>
        </w:rPr>
        <w:t xml:space="preserve">and </w:t>
      </w:r>
      <w:r w:rsidR="00FA156B" w:rsidRPr="00F83436">
        <w:rPr>
          <w:b/>
        </w:rPr>
        <w:t xml:space="preserve">Justice-involved Youth </w:t>
      </w:r>
    </w:p>
    <w:p w:rsidR="003002E8" w:rsidRPr="00AD18A4" w:rsidRDefault="00797912" w:rsidP="003002E8">
      <w:pPr>
        <w:autoSpaceDE w:val="0"/>
        <w:autoSpaceDN w:val="0"/>
        <w:adjustRightInd w:val="0"/>
        <w:spacing w:after="0" w:line="240" w:lineRule="auto"/>
        <w:rPr>
          <w:rFonts w:cs="HelveticaNeueLTStd-Th"/>
        </w:rPr>
      </w:pPr>
      <w:r>
        <w:rPr>
          <w:rFonts w:cs="HelveticaNeueLTStd-Lt"/>
        </w:rPr>
        <w:t xml:space="preserve">According to several Canadian reports and studies published </w:t>
      </w:r>
      <w:r w:rsidR="001166CF">
        <w:rPr>
          <w:rFonts w:cs="HelveticaNeueLTStd-Lt"/>
        </w:rPr>
        <w:t>over the past 10 to 15 years</w:t>
      </w:r>
      <w:r>
        <w:rPr>
          <w:rFonts w:cs="HelveticaNeueLTStd-Lt"/>
        </w:rPr>
        <w:t xml:space="preserve">, </w:t>
      </w:r>
      <w:r w:rsidR="00710DCF">
        <w:rPr>
          <w:rFonts w:cs="HelveticaNeueLTStd-Lt"/>
        </w:rPr>
        <w:t>high</w:t>
      </w:r>
      <w:r>
        <w:rPr>
          <w:rFonts w:cs="HelveticaNeueLTStd-Lt"/>
        </w:rPr>
        <w:t xml:space="preserve"> rates of substance use—tobacco, alcohol, marijuana and other substances (both illicit drugs and the misuse of prescription medicines</w:t>
      </w:r>
      <w:r w:rsidR="00710DCF">
        <w:rPr>
          <w:rFonts w:cs="HelveticaNeueLTStd-Lt"/>
        </w:rPr>
        <w:t>)</w:t>
      </w:r>
      <w:r>
        <w:rPr>
          <w:rFonts w:cs="HelveticaNeueLTStd-Lt"/>
        </w:rPr>
        <w:t xml:space="preserve">—are prevalent </w:t>
      </w:r>
      <w:r w:rsidR="001166CF">
        <w:rPr>
          <w:rFonts w:cs="HelveticaNeueLTStd-Lt"/>
        </w:rPr>
        <w:t>among young Canadians between 12 and 24 years of age</w:t>
      </w:r>
      <w:r>
        <w:rPr>
          <w:rFonts w:cs="HelveticaNeueLTStd-Lt"/>
        </w:rPr>
        <w:t xml:space="preserve"> (Hammond, Ahmed, Yang, </w:t>
      </w:r>
      <w:proofErr w:type="spellStart"/>
      <w:r>
        <w:rPr>
          <w:rFonts w:cs="HelveticaNeueLTStd-Lt"/>
        </w:rPr>
        <w:t>Brukhalter</w:t>
      </w:r>
      <w:proofErr w:type="spellEnd"/>
      <w:r>
        <w:rPr>
          <w:rFonts w:cs="HelveticaNeueLTStd-Lt"/>
        </w:rPr>
        <w:t xml:space="preserve"> &amp; </w:t>
      </w:r>
      <w:proofErr w:type="spellStart"/>
      <w:r>
        <w:rPr>
          <w:rFonts w:cs="HelveticaNeueLTStd-Lt"/>
        </w:rPr>
        <w:t>Leatherdale</w:t>
      </w:r>
      <w:proofErr w:type="spellEnd"/>
      <w:r>
        <w:rPr>
          <w:rFonts w:cs="HelveticaNeueLTStd-Lt"/>
        </w:rPr>
        <w:t>, 201</w:t>
      </w:r>
      <w:r w:rsidR="009033C6">
        <w:rPr>
          <w:rFonts w:cs="HelveticaNeueLTStd-Lt"/>
        </w:rPr>
        <w:t>1</w:t>
      </w:r>
      <w:r>
        <w:rPr>
          <w:rFonts w:cs="HelveticaNeueLTStd-Lt"/>
        </w:rPr>
        <w:t xml:space="preserve">; </w:t>
      </w:r>
      <w:proofErr w:type="spellStart"/>
      <w:r>
        <w:rPr>
          <w:rFonts w:cs="HelveticaNeueLTStd-Lt"/>
        </w:rPr>
        <w:t>Pihl</w:t>
      </w:r>
      <w:proofErr w:type="spellEnd"/>
      <w:r>
        <w:rPr>
          <w:rFonts w:cs="HelveticaNeueLTStd-Lt"/>
        </w:rPr>
        <w:t xml:space="preserve">, </w:t>
      </w:r>
      <w:proofErr w:type="spellStart"/>
      <w:r>
        <w:rPr>
          <w:rFonts w:cs="HelveticaNeueLTStd-Lt"/>
        </w:rPr>
        <w:t>Shakra</w:t>
      </w:r>
      <w:proofErr w:type="spellEnd"/>
      <w:r>
        <w:rPr>
          <w:rFonts w:cs="HelveticaNeueLTStd-Lt"/>
        </w:rPr>
        <w:t xml:space="preserve">, Cox, O’Leary-Barrett, </w:t>
      </w:r>
      <w:proofErr w:type="spellStart"/>
      <w:r>
        <w:rPr>
          <w:rFonts w:cs="HelveticaNeueLTStd-Lt"/>
        </w:rPr>
        <w:t>Brotnow</w:t>
      </w:r>
      <w:proofErr w:type="spellEnd"/>
      <w:r>
        <w:rPr>
          <w:rFonts w:cs="HelveticaNeueLTStd-Lt"/>
        </w:rPr>
        <w:t xml:space="preserve">, </w:t>
      </w:r>
      <w:proofErr w:type="spellStart"/>
      <w:r>
        <w:rPr>
          <w:rFonts w:cs="HelveticaNeueLTStd-Lt"/>
        </w:rPr>
        <w:t>Sinha</w:t>
      </w:r>
      <w:proofErr w:type="spellEnd"/>
      <w:r>
        <w:rPr>
          <w:rFonts w:cs="HelveticaNeueLTStd-Lt"/>
        </w:rPr>
        <w:t xml:space="preserve">, Stewart &amp; </w:t>
      </w:r>
      <w:proofErr w:type="spellStart"/>
      <w:r>
        <w:rPr>
          <w:rFonts w:cs="HelveticaNeueLTStd-Lt"/>
        </w:rPr>
        <w:t>Leyton</w:t>
      </w:r>
      <w:proofErr w:type="spellEnd"/>
      <w:r>
        <w:rPr>
          <w:rFonts w:cs="HelveticaNeueLTStd-Lt"/>
        </w:rPr>
        <w:t xml:space="preserve"> in </w:t>
      </w:r>
      <w:proofErr w:type="spellStart"/>
      <w:r>
        <w:rPr>
          <w:rFonts w:cs="HelveticaNeueLTStd-Lt"/>
        </w:rPr>
        <w:t>Leyton</w:t>
      </w:r>
      <w:proofErr w:type="spellEnd"/>
      <w:r>
        <w:rPr>
          <w:rFonts w:cs="HelveticaNeueLTStd-Lt"/>
        </w:rPr>
        <w:t xml:space="preserve"> &amp; Stewart, 2014, Health Canada, 2014 &amp; 2015). </w:t>
      </w:r>
      <w:r w:rsidR="003002E8">
        <w:rPr>
          <w:rFonts w:cs="HelveticaNeueLTStd-Lt"/>
        </w:rPr>
        <w:t xml:space="preserve">For example, </w:t>
      </w:r>
      <w:r w:rsidR="003002E8">
        <w:rPr>
          <w:rFonts w:cs="HelveticaNeueLTStd-Th"/>
        </w:rPr>
        <w:t>results from a 2004 Canadian national survey on substance use revealed that almost half the respondents over 15 years of age (45%) had used marijuana at least once (</w:t>
      </w:r>
      <w:proofErr w:type="spellStart"/>
      <w:r w:rsidR="003002E8">
        <w:rPr>
          <w:rFonts w:cs="HelveticaNeueLTStd-Th"/>
        </w:rPr>
        <w:t>Adlaf</w:t>
      </w:r>
      <w:proofErr w:type="spellEnd"/>
      <w:r w:rsidR="003002E8">
        <w:rPr>
          <w:rFonts w:cs="HelveticaNeueLTStd-Th"/>
        </w:rPr>
        <w:t xml:space="preserve">, Begin &amp; </w:t>
      </w:r>
      <w:proofErr w:type="spellStart"/>
      <w:r w:rsidR="003002E8">
        <w:rPr>
          <w:rFonts w:cs="HelveticaNeueLTStd-Th"/>
        </w:rPr>
        <w:t>Sawka</w:t>
      </w:r>
      <w:proofErr w:type="spellEnd"/>
      <w:r w:rsidR="003002E8">
        <w:rPr>
          <w:rFonts w:cs="HelveticaNeueLTStd-Th"/>
        </w:rPr>
        <w:t xml:space="preserve">, 2005, cited in Hammond et al, 2011) and approximately 17% of respondents had used illicit drugs such as hallucinogens, cocaine, amphetamines, and ecstasy (Hammond et al, 2011, p. 7). Citing data from </w:t>
      </w:r>
      <w:r w:rsidR="003002E8" w:rsidRPr="00F27FA9">
        <w:rPr>
          <w:rFonts w:cs="HelveticaNeueLTStd-Th"/>
        </w:rPr>
        <w:t xml:space="preserve">the 2011 </w:t>
      </w:r>
      <w:r w:rsidR="003002E8" w:rsidRPr="00F27FA9">
        <w:rPr>
          <w:rFonts w:cs="HelveticaNeueLTStd-Th"/>
          <w:i/>
        </w:rPr>
        <w:t xml:space="preserve">Canadian Alcohol and Drug Use Monitoring Survey </w:t>
      </w:r>
      <w:r w:rsidR="003002E8" w:rsidRPr="00F27FA9">
        <w:rPr>
          <w:rFonts w:cs="HelveticaNeueLTStd-Th"/>
        </w:rPr>
        <w:t>(CADU</w:t>
      </w:r>
      <w:r w:rsidR="003002E8">
        <w:rPr>
          <w:rFonts w:cs="HelveticaNeueLTStd-Th"/>
        </w:rPr>
        <w:t>M</w:t>
      </w:r>
      <w:r w:rsidR="003002E8" w:rsidRPr="00F27FA9">
        <w:rPr>
          <w:rFonts w:cs="HelveticaNeueLTStd-Th"/>
        </w:rPr>
        <w:t xml:space="preserve">S), </w:t>
      </w:r>
      <w:proofErr w:type="spellStart"/>
      <w:r w:rsidR="003002E8">
        <w:rPr>
          <w:rFonts w:cs="HelveticaNeueLTStd-Th"/>
        </w:rPr>
        <w:t>Pihl</w:t>
      </w:r>
      <w:proofErr w:type="spellEnd"/>
      <w:r w:rsidR="003002E8">
        <w:rPr>
          <w:rFonts w:cs="HelveticaNeueLTStd-Th"/>
        </w:rPr>
        <w:t xml:space="preserve"> et al</w:t>
      </w:r>
      <w:r w:rsidR="003002E8" w:rsidRPr="00F27FA9">
        <w:rPr>
          <w:rFonts w:cs="HelveticaNeueLTStd-Th"/>
        </w:rPr>
        <w:t xml:space="preserve"> note that “approximately 85 percent of teenagers have used alcohol and 50 percent have tried illicit drugs” (2014, p.7).</w:t>
      </w:r>
      <w:r w:rsidR="003002E8">
        <w:rPr>
          <w:rFonts w:cs="HelveticaNeueLTStd-Th"/>
        </w:rPr>
        <w:t xml:space="preserve"> </w:t>
      </w:r>
      <w:r w:rsidR="00AD18A4">
        <w:rPr>
          <w:rFonts w:cs="HelveticaNeueLTStd-Th"/>
        </w:rPr>
        <w:t xml:space="preserve">More recently, </w:t>
      </w:r>
      <w:r w:rsidR="003002E8">
        <w:rPr>
          <w:rFonts w:cs="HelveticaNeueLTStd-Th"/>
        </w:rPr>
        <w:t xml:space="preserve">data from the 2013 </w:t>
      </w:r>
      <w:r w:rsidR="003002E8">
        <w:rPr>
          <w:rFonts w:cs="HelveticaNeueLTStd-Th"/>
          <w:i/>
        </w:rPr>
        <w:t xml:space="preserve">Canadian Tobacco, Alcohol and Drugs </w:t>
      </w:r>
      <w:r w:rsidR="003002E8" w:rsidRPr="00A92C66">
        <w:rPr>
          <w:rFonts w:cs="HelveticaNeueLTStd-Th"/>
          <w:i/>
        </w:rPr>
        <w:t>Survey</w:t>
      </w:r>
      <w:r w:rsidR="003002E8">
        <w:rPr>
          <w:rFonts w:cs="HelveticaNeueLTStd-Th"/>
          <w:i/>
        </w:rPr>
        <w:t xml:space="preserve"> </w:t>
      </w:r>
      <w:r w:rsidR="003002E8">
        <w:rPr>
          <w:rFonts w:cs="HelveticaNeueLTStd-Th"/>
        </w:rPr>
        <w:t>(p. 4)</w:t>
      </w:r>
      <w:r w:rsidR="00AD18A4">
        <w:rPr>
          <w:rFonts w:cs="HelveticaNeueLTStd-Th"/>
        </w:rPr>
        <w:t xml:space="preserve"> indicate that</w:t>
      </w:r>
      <w:r w:rsidR="003002E8">
        <w:rPr>
          <w:rFonts w:cs="HelveticaNeueLTStd-Th"/>
        </w:rPr>
        <w:t xml:space="preserve"> 11% of respondents age 15 years or older reported using at least one of six illicit drugs (cannabis, cocaine or crack, speed, ecstasy, hallucinogens or heroin) within the 12 months prior to the survey; more specifically</w:t>
      </w:r>
      <w:r w:rsidR="00AD18A4">
        <w:rPr>
          <w:rFonts w:cs="HelveticaNeueLTStd-Th"/>
        </w:rPr>
        <w:t>,</w:t>
      </w:r>
      <w:r w:rsidR="003002E8">
        <w:rPr>
          <w:rFonts w:cs="HelveticaNeueLTStd-Th"/>
        </w:rPr>
        <w:t xml:space="preserve"> the rates of use among 15-19 year olds (23%) and young adults 20-24 years of age (27%) were triple that of adults 25 years and older (8%). Among 15-19 year olds, 22% reported using cannabis in the previous year and 60% reported using alcohol in the previous year</w:t>
      </w:r>
      <w:r w:rsidR="00AD18A4">
        <w:rPr>
          <w:rFonts w:cs="HelveticaNeueLTStd-Th"/>
        </w:rPr>
        <w:t xml:space="preserve">; 26% of </w:t>
      </w:r>
      <w:r w:rsidR="003002E8">
        <w:rPr>
          <w:rFonts w:cs="HelveticaNeueLTStd-Th"/>
        </w:rPr>
        <w:t>young adults (20-24 years of age), reported using cannabis</w:t>
      </w:r>
      <w:r w:rsidR="003002E8">
        <w:rPr>
          <w:rFonts w:cs="HelveticaNeueLTStd-Th"/>
          <w:i/>
        </w:rPr>
        <w:t xml:space="preserve"> </w:t>
      </w:r>
      <w:r w:rsidR="003002E8">
        <w:rPr>
          <w:rFonts w:cs="HelveticaNeueLTStd-Th"/>
        </w:rPr>
        <w:t>and 83% indicated they had used alcohol in the previous year</w:t>
      </w:r>
      <w:r w:rsidR="00AD18A4">
        <w:rPr>
          <w:rFonts w:cs="HelveticaNeueLTStd-Th"/>
        </w:rPr>
        <w:t xml:space="preserve"> (Health Canada, 2016, p.5)</w:t>
      </w:r>
      <w:r w:rsidR="003002E8">
        <w:rPr>
          <w:rFonts w:cs="HelveticaNeueLTStd-Th"/>
        </w:rPr>
        <w:t>.</w:t>
      </w:r>
      <w:r w:rsidR="003002E8">
        <w:rPr>
          <w:rFonts w:cs="HelveticaNeueLTStd-Th"/>
          <w:i/>
        </w:rPr>
        <w:t xml:space="preserve"> </w:t>
      </w:r>
    </w:p>
    <w:p w:rsidR="003002E8" w:rsidRDefault="003002E8" w:rsidP="00E43645">
      <w:pPr>
        <w:autoSpaceDE w:val="0"/>
        <w:autoSpaceDN w:val="0"/>
        <w:adjustRightInd w:val="0"/>
        <w:spacing w:after="0" w:line="240" w:lineRule="auto"/>
        <w:rPr>
          <w:rFonts w:cs="HelveticaNeueLTStd-Lt"/>
        </w:rPr>
      </w:pPr>
    </w:p>
    <w:p w:rsidR="00655BFD" w:rsidRDefault="00AD18A4" w:rsidP="00E43645">
      <w:pPr>
        <w:autoSpaceDE w:val="0"/>
        <w:autoSpaceDN w:val="0"/>
        <w:adjustRightInd w:val="0"/>
        <w:spacing w:after="0" w:line="240" w:lineRule="auto"/>
        <w:rPr>
          <w:rFonts w:cs="HelveticaNeueLTStd-Th"/>
        </w:rPr>
      </w:pPr>
      <w:r w:rsidRPr="0025247C">
        <w:rPr>
          <w:rFonts w:cs="HelveticaNeueLTStd-Th"/>
        </w:rPr>
        <w:t>While</w:t>
      </w:r>
      <w:r w:rsidRPr="00F27FA9">
        <w:rPr>
          <w:rFonts w:cs="HelveticaNeueLTStd-Th"/>
        </w:rPr>
        <w:t xml:space="preserve"> the CAD</w:t>
      </w:r>
      <w:r>
        <w:rPr>
          <w:rFonts w:cs="HelveticaNeueLTStd-Th"/>
        </w:rPr>
        <w:t>UM</w:t>
      </w:r>
      <w:r w:rsidRPr="00F27FA9">
        <w:rPr>
          <w:rFonts w:cs="HelveticaNeueLTStd-Th"/>
        </w:rPr>
        <w:t xml:space="preserve">S—and its 2013 replacement the </w:t>
      </w:r>
      <w:r w:rsidRPr="00F27FA9">
        <w:rPr>
          <w:rFonts w:cs="HelveticaNeueLTStd-Th"/>
          <w:i/>
        </w:rPr>
        <w:t>Canadian Tobacco, Alcohol and Drugs Survey</w:t>
      </w:r>
      <w:r w:rsidRPr="00F27FA9">
        <w:rPr>
          <w:rFonts w:cs="HelveticaNeueLTStd-Th"/>
        </w:rPr>
        <w:t xml:space="preserve"> (CTADS)—tracks alcohol and illicit drug use among </w:t>
      </w:r>
      <w:r>
        <w:rPr>
          <w:rFonts w:cs="HelveticaNeueLTStd-Th"/>
        </w:rPr>
        <w:t xml:space="preserve">older </w:t>
      </w:r>
      <w:r w:rsidRPr="00F27FA9">
        <w:rPr>
          <w:rFonts w:cs="HelveticaNeueLTStd-Th"/>
        </w:rPr>
        <w:t xml:space="preserve">teenagers </w:t>
      </w:r>
      <w:r>
        <w:rPr>
          <w:rFonts w:cs="HelveticaNeueLTStd-Th"/>
        </w:rPr>
        <w:t>(</w:t>
      </w:r>
      <w:r w:rsidRPr="00F27FA9">
        <w:rPr>
          <w:rFonts w:cs="HelveticaNeueLTStd-Th"/>
        </w:rPr>
        <w:t xml:space="preserve">15 </w:t>
      </w:r>
      <w:r>
        <w:rPr>
          <w:rFonts w:cs="HelveticaNeueLTStd-Th"/>
        </w:rPr>
        <w:t>-</w:t>
      </w:r>
      <w:r w:rsidRPr="00F27FA9">
        <w:rPr>
          <w:rFonts w:cs="HelveticaNeueLTStd-Th"/>
        </w:rPr>
        <w:t xml:space="preserve"> 19 years of age</w:t>
      </w:r>
      <w:r>
        <w:rPr>
          <w:rFonts w:cs="HelveticaNeueLTStd-Th"/>
        </w:rPr>
        <w:t>)</w:t>
      </w:r>
      <w:r w:rsidRPr="00F27FA9">
        <w:rPr>
          <w:rFonts w:cs="HelveticaNeueLTStd-Th"/>
        </w:rPr>
        <w:t xml:space="preserve"> and young adults </w:t>
      </w:r>
      <w:r>
        <w:rPr>
          <w:rFonts w:cs="HelveticaNeueLTStd-Th"/>
        </w:rPr>
        <w:t xml:space="preserve">(18 – 24 year olds), </w:t>
      </w:r>
      <w:r w:rsidRPr="00F27FA9">
        <w:rPr>
          <w:rFonts w:cs="HelveticaNeueLTStd-Th"/>
        </w:rPr>
        <w:t>it does not capture substance use among youth under the age of 15</w:t>
      </w:r>
      <w:r>
        <w:rPr>
          <w:rFonts w:cs="HelveticaNeueLTStd-Th"/>
        </w:rPr>
        <w:t xml:space="preserve">. In order to capture data on substance use patterns among 11 to 14 year olds, a national </w:t>
      </w:r>
      <w:r>
        <w:rPr>
          <w:rFonts w:cs="HelveticaNeueLTStd-Th"/>
          <w:i/>
        </w:rPr>
        <w:t>Youth Smoking Survey</w:t>
      </w:r>
      <w:r>
        <w:rPr>
          <w:rStyle w:val="FootnoteReference"/>
          <w:rFonts w:cs="HelveticaNeueLTStd-Th"/>
          <w:i/>
        </w:rPr>
        <w:footnoteReference w:id="1"/>
      </w:r>
      <w:r>
        <w:rPr>
          <w:rFonts w:cs="HelveticaNeueLTStd-Th"/>
        </w:rPr>
        <w:t xml:space="preserve"> has been administered since 2002, on a </w:t>
      </w:r>
      <w:proofErr w:type="spellStart"/>
      <w:r>
        <w:rPr>
          <w:rFonts w:cs="HelveticaNeueLTStd-Th"/>
        </w:rPr>
        <w:t>biennual</w:t>
      </w:r>
      <w:proofErr w:type="spellEnd"/>
      <w:r>
        <w:rPr>
          <w:rFonts w:cs="HelveticaNeueLTStd-Th"/>
        </w:rPr>
        <w:t xml:space="preserve"> basis, to Canadian school-age youth in grades 6 to 12 (Hammond et al, 2011). In addition to asking all students about tobacco use, students in grades 7-12 are also asked about alcohol and drug use (Hammond et al, 2011). The results of the 2008 survey showed that almost 21% of youth in grades 7 to 9 (i.e., between 12 and 14 years of age) reported drinking </w:t>
      </w:r>
      <w:r>
        <w:rPr>
          <w:rFonts w:cs="HelveticaNeueLTStd-Th"/>
        </w:rPr>
        <w:lastRenderedPageBreak/>
        <w:t xml:space="preserve">alcohol at least once per month in the previous year, 17% of respondents in this age group had tried cannabis, and 13% reported they had tried another substance such as hallucinogens (4.8%), amphetamines (3.5%), MDMA—ecstasy—(4.2%), glue (4.7%), or the non-medical use of prescription drugs (6.7%). </w:t>
      </w:r>
    </w:p>
    <w:p w:rsidR="00655BFD" w:rsidRDefault="00655BFD" w:rsidP="00E43645">
      <w:pPr>
        <w:autoSpaceDE w:val="0"/>
        <w:autoSpaceDN w:val="0"/>
        <w:adjustRightInd w:val="0"/>
        <w:spacing w:after="0" w:line="240" w:lineRule="auto"/>
        <w:rPr>
          <w:rFonts w:cs="HelveticaNeueLTStd-Th"/>
        </w:rPr>
      </w:pPr>
    </w:p>
    <w:p w:rsidR="00E24353" w:rsidRPr="00D357A3" w:rsidRDefault="00E24353" w:rsidP="00E43645">
      <w:pPr>
        <w:autoSpaceDE w:val="0"/>
        <w:autoSpaceDN w:val="0"/>
        <w:adjustRightInd w:val="0"/>
        <w:spacing w:after="0" w:line="240" w:lineRule="auto"/>
        <w:rPr>
          <w:rFonts w:cs="HelveticaNeueLTStd-Th"/>
        </w:rPr>
      </w:pPr>
      <w:r>
        <w:rPr>
          <w:rFonts w:cs="HelveticaNeueLTStd-Th"/>
        </w:rPr>
        <w:t>Rates of adolescent substance use and patterns of use vary by province. The ability to consistently track patterns and rates</w:t>
      </w:r>
      <w:r w:rsidR="00F2021D">
        <w:rPr>
          <w:rFonts w:cs="HelveticaNeueLTStd-Th"/>
        </w:rPr>
        <w:t xml:space="preserve"> of use also varies by province and is either constrained or supported by the availability of and access to research funding and resources. In British Columbia, a comprehensive adolescent health survey</w:t>
      </w:r>
      <w:r w:rsidR="005E7B02">
        <w:rPr>
          <w:rFonts w:cs="HelveticaNeueLTStd-Th"/>
        </w:rPr>
        <w:t xml:space="preserve"> has been </w:t>
      </w:r>
      <w:r w:rsidR="00F2021D">
        <w:rPr>
          <w:rFonts w:cs="HelveticaNeueLTStd-Th"/>
        </w:rPr>
        <w:t>administered every five years</w:t>
      </w:r>
      <w:r w:rsidR="005E7B02">
        <w:rPr>
          <w:rFonts w:cs="HelveticaNeueLTStd-Th"/>
        </w:rPr>
        <w:t xml:space="preserve">, </w:t>
      </w:r>
      <w:r w:rsidR="00600A3E">
        <w:rPr>
          <w:rFonts w:cs="HelveticaNeueLTStd-Th"/>
        </w:rPr>
        <w:t>since 1992</w:t>
      </w:r>
      <w:r w:rsidR="005E7B02" w:rsidRPr="005E7B02">
        <w:rPr>
          <w:rStyle w:val="FootnoteReference"/>
          <w:rFonts w:cs="HelveticaNeueLTStd-Th"/>
          <w:i/>
        </w:rPr>
        <w:t xml:space="preserve"> </w:t>
      </w:r>
      <w:r w:rsidR="005E7B02">
        <w:rPr>
          <w:rStyle w:val="FootnoteReference"/>
          <w:rFonts w:cs="HelveticaNeueLTStd-Th"/>
          <w:i/>
        </w:rPr>
        <w:footnoteReference w:id="2"/>
      </w:r>
      <w:r w:rsidR="005E7B02">
        <w:rPr>
          <w:rFonts w:cs="HelveticaNeueLTStd-Th"/>
          <w:i/>
        </w:rPr>
        <w:t xml:space="preserve">. </w:t>
      </w:r>
      <w:r w:rsidR="005E7B02">
        <w:rPr>
          <w:rFonts w:cs="HelveticaNeueLTStd-Th"/>
        </w:rPr>
        <w:t xml:space="preserve">The </w:t>
      </w:r>
      <w:r w:rsidR="005E7B02">
        <w:rPr>
          <w:rFonts w:cs="HelveticaNeueLTStd-Th"/>
          <w:i/>
        </w:rPr>
        <w:t>BC Adolescent Health Survey</w:t>
      </w:r>
      <w:r w:rsidR="005914E9">
        <w:rPr>
          <w:rFonts w:cs="HelveticaNeueLTStd-Th"/>
          <w:i/>
        </w:rPr>
        <w:t xml:space="preserve"> (BC AHS)</w:t>
      </w:r>
      <w:r w:rsidR="005E7B02">
        <w:rPr>
          <w:rFonts w:cs="HelveticaNeueLTStd-Th"/>
          <w:i/>
        </w:rPr>
        <w:t xml:space="preserve"> </w:t>
      </w:r>
      <w:r w:rsidR="005E7B02">
        <w:rPr>
          <w:rFonts w:cs="HelveticaNeueLTStd-Th"/>
        </w:rPr>
        <w:t xml:space="preserve">not only collects detailed information about substance use patterns, but also collects information on a variety of health </w:t>
      </w:r>
      <w:r w:rsidR="00554205">
        <w:rPr>
          <w:rFonts w:cs="HelveticaNeueLTStd-Th"/>
        </w:rPr>
        <w:t xml:space="preserve">and social </w:t>
      </w:r>
      <w:r w:rsidR="005E7B02">
        <w:rPr>
          <w:rFonts w:cs="HelveticaNeueLTStd-Th"/>
        </w:rPr>
        <w:t xml:space="preserve">determinants (e.g., sleep patterns, nutrition, </w:t>
      </w:r>
      <w:r w:rsidR="00554205">
        <w:rPr>
          <w:rFonts w:cs="HelveticaNeueLTStd-Th"/>
        </w:rPr>
        <w:t xml:space="preserve">experiences with being in government care, </w:t>
      </w:r>
      <w:r w:rsidR="005E7B02">
        <w:rPr>
          <w:rFonts w:cs="HelveticaNeueLTStd-Th"/>
        </w:rPr>
        <w:t>bullying, school connectedness, experiencing extreme distress or hopelessness</w:t>
      </w:r>
      <w:r w:rsidR="00554205">
        <w:rPr>
          <w:rFonts w:cs="HelveticaNeueLTStd-Th"/>
        </w:rPr>
        <w:t>, abuse histories) that act either as protective or risk factors for developing mental health difficulties and/or substance use disorders.</w:t>
      </w:r>
      <w:r w:rsidR="005914E9">
        <w:rPr>
          <w:rFonts w:cs="HelveticaNeueLTStd-Th"/>
        </w:rPr>
        <w:t xml:space="preserve"> Furthermore, data from Aboriginal youth who responded to the </w:t>
      </w:r>
      <w:r w:rsidR="005914E9" w:rsidRPr="005914E9">
        <w:rPr>
          <w:rFonts w:cs="HelveticaNeueLTStd-Th"/>
          <w:i/>
        </w:rPr>
        <w:t>BC</w:t>
      </w:r>
      <w:r w:rsidR="005914E9">
        <w:rPr>
          <w:rFonts w:cs="HelveticaNeueLTStd-Th"/>
        </w:rPr>
        <w:t xml:space="preserve"> </w:t>
      </w:r>
      <w:r w:rsidR="005914E9" w:rsidRPr="005914E9">
        <w:rPr>
          <w:rFonts w:cs="HelveticaNeueLTStd-Th"/>
          <w:i/>
        </w:rPr>
        <w:t>AHS</w:t>
      </w:r>
      <w:r w:rsidR="005914E9">
        <w:rPr>
          <w:rFonts w:cs="HelveticaNeueLTStd-Th"/>
          <w:i/>
        </w:rPr>
        <w:t xml:space="preserve"> </w:t>
      </w:r>
      <w:r w:rsidR="005914E9">
        <w:rPr>
          <w:rFonts w:cs="HelveticaNeueLTStd-Th"/>
        </w:rPr>
        <w:t>are analyzed and reported in a separate report</w:t>
      </w:r>
      <w:r w:rsidR="00D357A3">
        <w:rPr>
          <w:rFonts w:cs="HelveticaNeueLTStd-Th"/>
        </w:rPr>
        <w:t xml:space="preserve">—the most recent being </w:t>
      </w:r>
      <w:r w:rsidR="00D357A3">
        <w:rPr>
          <w:rFonts w:cs="HelveticaNeueLTStd-Th"/>
          <w:i/>
        </w:rPr>
        <w:t xml:space="preserve">Raven’s Children IV: Aboriginal youth health in BC </w:t>
      </w:r>
      <w:r w:rsidR="00D357A3">
        <w:rPr>
          <w:rFonts w:cs="HelveticaNeueLTStd-Th"/>
        </w:rPr>
        <w:t>(</w:t>
      </w:r>
      <w:proofErr w:type="spellStart"/>
      <w:r w:rsidR="00D357A3">
        <w:rPr>
          <w:rFonts w:cs="HelveticaNeueLTStd-Th"/>
        </w:rPr>
        <w:t>Tourand</w:t>
      </w:r>
      <w:proofErr w:type="spellEnd"/>
      <w:r w:rsidR="00D357A3">
        <w:rPr>
          <w:rFonts w:cs="HelveticaNeueLTStd-Th"/>
        </w:rPr>
        <w:t xml:space="preserve">, Smith, </w:t>
      </w:r>
      <w:proofErr w:type="spellStart"/>
      <w:r w:rsidR="00D357A3">
        <w:rPr>
          <w:rFonts w:cs="HelveticaNeueLTStd-Th"/>
        </w:rPr>
        <w:t>Poon</w:t>
      </w:r>
      <w:proofErr w:type="spellEnd"/>
      <w:r w:rsidR="00D357A3">
        <w:rPr>
          <w:rFonts w:cs="HelveticaNeueLTStd-Th"/>
        </w:rPr>
        <w:t xml:space="preserve">, </w:t>
      </w:r>
      <w:proofErr w:type="spellStart"/>
      <w:r w:rsidR="00D357A3">
        <w:rPr>
          <w:rFonts w:cs="HelveticaNeueLTStd-Th"/>
        </w:rPr>
        <w:t>Saewyc</w:t>
      </w:r>
      <w:proofErr w:type="spellEnd"/>
      <w:r w:rsidR="00D357A3">
        <w:rPr>
          <w:rFonts w:cs="HelveticaNeueLTStd-Th"/>
        </w:rPr>
        <w:t xml:space="preserve"> &amp; McCreary Centre Society, 2016).</w:t>
      </w:r>
    </w:p>
    <w:p w:rsidR="00554205" w:rsidRPr="005E7B02" w:rsidRDefault="00554205" w:rsidP="00E43645">
      <w:pPr>
        <w:autoSpaceDE w:val="0"/>
        <w:autoSpaceDN w:val="0"/>
        <w:adjustRightInd w:val="0"/>
        <w:spacing w:after="0" w:line="240" w:lineRule="auto"/>
        <w:rPr>
          <w:rFonts w:cs="HelveticaNeueLTStd-Th"/>
        </w:rPr>
      </w:pPr>
    </w:p>
    <w:p w:rsidR="00756F41" w:rsidRDefault="00756F41" w:rsidP="00E43645">
      <w:pPr>
        <w:autoSpaceDE w:val="0"/>
        <w:autoSpaceDN w:val="0"/>
        <w:adjustRightInd w:val="0"/>
        <w:spacing w:after="0" w:line="240" w:lineRule="auto"/>
        <w:rPr>
          <w:rFonts w:cs="HelveticaNeueLTStd-Th"/>
        </w:rPr>
      </w:pPr>
      <w:r>
        <w:rPr>
          <w:rFonts w:cs="HelveticaNeueLTStd-Th"/>
        </w:rPr>
        <w:t xml:space="preserve">One limitation of national </w:t>
      </w:r>
      <w:r w:rsidR="002D5553">
        <w:rPr>
          <w:rFonts w:cs="HelveticaNeueLTStd-Th"/>
        </w:rPr>
        <w:t xml:space="preserve">or provincial </w:t>
      </w:r>
      <w:r>
        <w:rPr>
          <w:rFonts w:cs="HelveticaNeueLTStd-Th"/>
        </w:rPr>
        <w:t xml:space="preserve">surveys that </w:t>
      </w:r>
      <w:r w:rsidR="002D5553">
        <w:rPr>
          <w:rFonts w:cs="HelveticaNeueLTStd-Th"/>
        </w:rPr>
        <w:t xml:space="preserve">only </w:t>
      </w:r>
      <w:r>
        <w:rPr>
          <w:rFonts w:cs="HelveticaNeueLTStd-Th"/>
        </w:rPr>
        <w:t>collect their data from</w:t>
      </w:r>
      <w:r w:rsidR="002D5553">
        <w:rPr>
          <w:rFonts w:cs="HelveticaNeueLTStd-Th"/>
        </w:rPr>
        <w:t xml:space="preserve"> mainstream public schools (i.e.,</w:t>
      </w:r>
      <w:r>
        <w:rPr>
          <w:rFonts w:cs="HelveticaNeueLTStd-Th"/>
        </w:rPr>
        <w:t xml:space="preserve"> the general population</w:t>
      </w:r>
      <w:r w:rsidR="002D5553">
        <w:rPr>
          <w:rFonts w:cs="HelveticaNeueLTStd-Th"/>
        </w:rPr>
        <w:t xml:space="preserve"> of adolescents</w:t>
      </w:r>
      <w:r w:rsidR="007A5335">
        <w:rPr>
          <w:rFonts w:cs="HelveticaNeueLTStd-Th"/>
        </w:rPr>
        <w:t>)</w:t>
      </w:r>
      <w:r>
        <w:rPr>
          <w:rFonts w:cs="HelveticaNeueLTStd-Th"/>
        </w:rPr>
        <w:t xml:space="preserve"> is that the</w:t>
      </w:r>
      <w:r w:rsidR="002D5553">
        <w:rPr>
          <w:rFonts w:cs="HelveticaNeueLTStd-Th"/>
        </w:rPr>
        <w:t>se</w:t>
      </w:r>
      <w:r>
        <w:rPr>
          <w:rFonts w:cs="HelveticaNeueLTStd-Th"/>
        </w:rPr>
        <w:t xml:space="preserve"> </w:t>
      </w:r>
      <w:r w:rsidR="002D5553">
        <w:rPr>
          <w:rFonts w:cs="HelveticaNeueLTStd-Th"/>
        </w:rPr>
        <w:t xml:space="preserve">studies are </w:t>
      </w:r>
      <w:r>
        <w:rPr>
          <w:rFonts w:cs="HelveticaNeueLTStd-Th"/>
        </w:rPr>
        <w:t xml:space="preserve">often missing data on </w:t>
      </w:r>
      <w:r w:rsidR="002D5553">
        <w:rPr>
          <w:rFonts w:cs="HelveticaNeueLTStd-Th"/>
        </w:rPr>
        <w:t>marginalized, at-risk youth because these adolescents are more likely either not in school at all or they are attending an alternative school</w:t>
      </w:r>
      <w:r>
        <w:rPr>
          <w:rFonts w:cs="HelveticaNeueLTStd-Th"/>
        </w:rPr>
        <w:t>. In addition to administering a province-wide survey on adolescent health to students in mainstream schools</w:t>
      </w:r>
      <w:r w:rsidR="00E24353">
        <w:rPr>
          <w:rFonts w:cs="HelveticaNeueLTStd-Th"/>
        </w:rPr>
        <w:t xml:space="preserve"> every five years</w:t>
      </w:r>
      <w:r>
        <w:rPr>
          <w:rFonts w:cs="HelveticaNeueLTStd-Th"/>
        </w:rPr>
        <w:t>, The McCreary Centre Society in BC also periodically</w:t>
      </w:r>
      <w:r w:rsidR="0008596E">
        <w:rPr>
          <w:rFonts w:cs="HelveticaNeueLTStd-Th"/>
        </w:rPr>
        <w:t xml:space="preserve"> surveys marginalized, at-risk youth who </w:t>
      </w:r>
      <w:r w:rsidR="00C65DFD">
        <w:rPr>
          <w:rFonts w:cs="HelveticaNeueLTStd-Th"/>
        </w:rPr>
        <w:t>are</w:t>
      </w:r>
      <w:r w:rsidR="0008596E">
        <w:rPr>
          <w:rFonts w:cs="HelveticaNeueLTStd-Th"/>
        </w:rPr>
        <w:t xml:space="preserve"> justice-involved and/or homeless/street-involved. The data from three such studies</w:t>
      </w:r>
      <w:r w:rsidR="00EB2C64">
        <w:rPr>
          <w:rFonts w:cs="HelveticaNeueLTStd-Th"/>
        </w:rPr>
        <w:t>—</w:t>
      </w:r>
      <w:r w:rsidR="00B55143">
        <w:rPr>
          <w:rFonts w:cs="HelveticaNeueLTStd-Th"/>
          <w:i/>
        </w:rPr>
        <w:t>Time Out III: A profile of BC youth in custody</w:t>
      </w:r>
      <w:r w:rsidR="00EB2C64">
        <w:rPr>
          <w:rFonts w:cs="HelveticaNeueLTStd-Th"/>
          <w:i/>
        </w:rPr>
        <w:t xml:space="preserve"> </w:t>
      </w:r>
      <w:r w:rsidR="00EB2C64">
        <w:rPr>
          <w:rFonts w:cs="HelveticaNeueLTStd-Th"/>
        </w:rPr>
        <w:t xml:space="preserve">(Smith, Cox, </w:t>
      </w:r>
      <w:proofErr w:type="spellStart"/>
      <w:r w:rsidR="00EB2C64">
        <w:rPr>
          <w:rFonts w:cs="HelveticaNeueLTStd-Th"/>
        </w:rPr>
        <w:t>Poon</w:t>
      </w:r>
      <w:proofErr w:type="spellEnd"/>
      <w:r w:rsidR="00EB2C64">
        <w:rPr>
          <w:rFonts w:cs="HelveticaNeueLTStd-Th"/>
        </w:rPr>
        <w:t xml:space="preserve">, Stewart &amp; McCreary Centre Society, 2013), </w:t>
      </w:r>
      <w:r w:rsidR="00B55143">
        <w:rPr>
          <w:rFonts w:cs="HelveticaNeueLTStd-Th"/>
          <w:i/>
        </w:rPr>
        <w:t>Our Communities, Our Youth: The health of homeless and street-involved youth in BC</w:t>
      </w:r>
      <w:r w:rsidR="00EB2C64">
        <w:rPr>
          <w:rFonts w:cs="HelveticaNeueLTStd-Th"/>
          <w:i/>
        </w:rPr>
        <w:t xml:space="preserve"> </w:t>
      </w:r>
      <w:r w:rsidR="00EB2C64">
        <w:rPr>
          <w:rFonts w:cs="HelveticaNeueLTStd-Th"/>
        </w:rPr>
        <w:t xml:space="preserve">(Smith, Stewart, </w:t>
      </w:r>
      <w:proofErr w:type="spellStart"/>
      <w:r w:rsidR="00EB2C64">
        <w:rPr>
          <w:rFonts w:cs="HelveticaNeueLTStd-Th"/>
        </w:rPr>
        <w:t>Poon</w:t>
      </w:r>
      <w:proofErr w:type="spellEnd"/>
      <w:r w:rsidR="00EB2C64">
        <w:rPr>
          <w:rFonts w:cs="HelveticaNeueLTStd-Th"/>
        </w:rPr>
        <w:t xml:space="preserve">, </w:t>
      </w:r>
      <w:proofErr w:type="spellStart"/>
      <w:r w:rsidR="00EB2C64">
        <w:rPr>
          <w:rFonts w:cs="HelveticaNeueLTStd-Th"/>
        </w:rPr>
        <w:t>Peled</w:t>
      </w:r>
      <w:proofErr w:type="spellEnd"/>
      <w:r w:rsidR="00EB2C64">
        <w:rPr>
          <w:rFonts w:cs="HelveticaNeueLTStd-Th"/>
        </w:rPr>
        <w:t xml:space="preserve">, </w:t>
      </w:r>
      <w:proofErr w:type="spellStart"/>
      <w:r w:rsidR="00EB2C64">
        <w:rPr>
          <w:rFonts w:cs="HelveticaNeueLTStd-Th"/>
        </w:rPr>
        <w:t>Saewyc</w:t>
      </w:r>
      <w:proofErr w:type="spellEnd"/>
      <w:r w:rsidR="00EB2C64">
        <w:rPr>
          <w:rFonts w:cs="HelveticaNeueLTStd-Th"/>
        </w:rPr>
        <w:t xml:space="preserve"> &amp; McCreary Centre Society, 2015) and </w:t>
      </w:r>
      <w:r w:rsidR="00B55143">
        <w:rPr>
          <w:rFonts w:cs="HelveticaNeueLTStd-Th"/>
          <w:i/>
        </w:rPr>
        <w:t>Becoming whole: youth voices informing substance use system planning</w:t>
      </w:r>
      <w:r w:rsidR="00EB2C64">
        <w:rPr>
          <w:rFonts w:cs="HelveticaNeueLTStd-Th"/>
          <w:i/>
        </w:rPr>
        <w:t xml:space="preserve"> </w:t>
      </w:r>
      <w:r w:rsidR="00EB2C64">
        <w:rPr>
          <w:rFonts w:cs="HelveticaNeueLTStd-Th"/>
        </w:rPr>
        <w:t xml:space="preserve">(Cox, Smith, </w:t>
      </w:r>
      <w:proofErr w:type="spellStart"/>
      <w:r w:rsidR="00EB2C64">
        <w:rPr>
          <w:rFonts w:cs="HelveticaNeueLTStd-Th"/>
        </w:rPr>
        <w:t>Peled</w:t>
      </w:r>
      <w:proofErr w:type="spellEnd"/>
      <w:r w:rsidR="00EB2C64">
        <w:rPr>
          <w:rFonts w:cs="HelveticaNeueLTStd-Th"/>
        </w:rPr>
        <w:t xml:space="preserve"> &amp; McCreary Centre Society, 2013)</w:t>
      </w:r>
      <w:r w:rsidR="00C65DFD">
        <w:rPr>
          <w:rStyle w:val="FootnoteReference"/>
          <w:rFonts w:cs="HelveticaNeueLTStd-Th"/>
        </w:rPr>
        <w:footnoteReference w:id="3"/>
      </w:r>
      <w:r w:rsidR="007A5335">
        <w:rPr>
          <w:rFonts w:cs="HelveticaNeueLTStd-Th"/>
        </w:rPr>
        <w:t>—</w:t>
      </w:r>
      <w:r w:rsidR="0008596E">
        <w:rPr>
          <w:rFonts w:cs="HelveticaNeueLTStd-Th"/>
        </w:rPr>
        <w:t xml:space="preserve">are also </w:t>
      </w:r>
      <w:r w:rsidR="00CF76EE">
        <w:rPr>
          <w:rFonts w:cs="HelveticaNeueLTStd-Th"/>
        </w:rPr>
        <w:t>discussed</w:t>
      </w:r>
      <w:r w:rsidR="0008596E">
        <w:rPr>
          <w:rFonts w:cs="HelveticaNeueLTStd-Th"/>
        </w:rPr>
        <w:t xml:space="preserve"> i</w:t>
      </w:r>
      <w:r w:rsidR="00B077BE">
        <w:rPr>
          <w:rFonts w:cs="HelveticaNeueLTStd-Th"/>
        </w:rPr>
        <w:t>n</w:t>
      </w:r>
      <w:r w:rsidR="00CF76EE">
        <w:rPr>
          <w:rFonts w:cs="HelveticaNeueLTStd-Th"/>
        </w:rPr>
        <w:t xml:space="preserve"> the first part of this literature review.</w:t>
      </w:r>
      <w:r w:rsidR="00B077BE">
        <w:rPr>
          <w:rFonts w:cs="HelveticaNeueLTStd-Th"/>
        </w:rPr>
        <w:t xml:space="preserve"> </w:t>
      </w:r>
      <w:r>
        <w:rPr>
          <w:rFonts w:cs="HelveticaNeueLTStd-Th"/>
        </w:rPr>
        <w:t xml:space="preserve">  </w:t>
      </w:r>
    </w:p>
    <w:p w:rsidR="00756F41" w:rsidRDefault="00756F41" w:rsidP="00E43645">
      <w:pPr>
        <w:autoSpaceDE w:val="0"/>
        <w:autoSpaceDN w:val="0"/>
        <w:adjustRightInd w:val="0"/>
        <w:spacing w:after="0" w:line="240" w:lineRule="auto"/>
        <w:rPr>
          <w:rFonts w:cs="HelveticaNeueLTStd-Th"/>
        </w:rPr>
      </w:pPr>
    </w:p>
    <w:p w:rsidR="00E557B8" w:rsidRDefault="00E223A3" w:rsidP="00E43645">
      <w:pPr>
        <w:autoSpaceDE w:val="0"/>
        <w:autoSpaceDN w:val="0"/>
        <w:adjustRightInd w:val="0"/>
        <w:spacing w:after="0" w:line="240" w:lineRule="auto"/>
        <w:rPr>
          <w:rFonts w:cs="HelveticaNeueLTStd-Th"/>
        </w:rPr>
      </w:pPr>
      <w:r>
        <w:rPr>
          <w:rFonts w:cs="HelveticaNeueLTStd-Th"/>
        </w:rPr>
        <w:t xml:space="preserve">Within BC, </w:t>
      </w:r>
      <w:r w:rsidR="00C52CF8">
        <w:rPr>
          <w:rFonts w:cs="HelveticaNeueLTStd-Th"/>
        </w:rPr>
        <w:t xml:space="preserve">both </w:t>
      </w:r>
      <w:r w:rsidR="007A5335">
        <w:rPr>
          <w:rFonts w:cs="HelveticaNeueLTStd-Th"/>
        </w:rPr>
        <w:t xml:space="preserve">the prevalence and patterns of </w:t>
      </w:r>
      <w:r w:rsidR="00C52CF8">
        <w:rPr>
          <w:rFonts w:cs="HelveticaNeueLTStd-Th"/>
        </w:rPr>
        <w:t xml:space="preserve">substance use and the prevalence of risk factors </w:t>
      </w:r>
      <w:r w:rsidR="00517113">
        <w:rPr>
          <w:rFonts w:cs="HelveticaNeueLTStd-Th"/>
        </w:rPr>
        <w:t xml:space="preserve">that </w:t>
      </w:r>
      <w:r w:rsidR="002E44A7">
        <w:rPr>
          <w:rFonts w:cs="HelveticaNeueLTStd-Th"/>
        </w:rPr>
        <w:t xml:space="preserve">are known to </w:t>
      </w:r>
      <w:r w:rsidR="00517113">
        <w:rPr>
          <w:rFonts w:cs="HelveticaNeueLTStd-Th"/>
        </w:rPr>
        <w:t xml:space="preserve">contribute to </w:t>
      </w:r>
      <w:r w:rsidR="002E44A7">
        <w:rPr>
          <w:rFonts w:cs="HelveticaNeueLTStd-Th"/>
        </w:rPr>
        <w:t xml:space="preserve">substance use disorders and justice involvement are noticeably different </w:t>
      </w:r>
      <w:r w:rsidR="00C52CF8">
        <w:rPr>
          <w:rFonts w:cs="HelveticaNeueLTStd-Th"/>
        </w:rPr>
        <w:t>for the at-risk youth versus youth</w:t>
      </w:r>
      <w:r w:rsidR="00C65DFD">
        <w:rPr>
          <w:rFonts w:cs="HelveticaNeueLTStd-Th"/>
        </w:rPr>
        <w:t xml:space="preserve"> who pa</w:t>
      </w:r>
      <w:r w:rsidR="00C52CF8">
        <w:rPr>
          <w:rFonts w:cs="HelveticaNeueLTStd-Th"/>
        </w:rPr>
        <w:t>rticipated in the 2013</w:t>
      </w:r>
      <w:r w:rsidR="00964296">
        <w:rPr>
          <w:rFonts w:cs="HelveticaNeueLTStd-Th"/>
        </w:rPr>
        <w:t xml:space="preserve"> </w:t>
      </w:r>
      <w:r w:rsidR="00964296">
        <w:rPr>
          <w:rFonts w:cs="HelveticaNeueLTStd-Th"/>
          <w:i/>
        </w:rPr>
        <w:t>BC</w:t>
      </w:r>
      <w:r w:rsidR="00C52CF8">
        <w:rPr>
          <w:rFonts w:cs="HelveticaNeueLTStd-Th"/>
        </w:rPr>
        <w:t xml:space="preserve"> </w:t>
      </w:r>
      <w:r w:rsidR="00C52CF8">
        <w:rPr>
          <w:rFonts w:cs="HelveticaNeueLTStd-Th"/>
          <w:i/>
        </w:rPr>
        <w:t>Adolescent Health Survey</w:t>
      </w:r>
      <w:r w:rsidR="00C52CF8">
        <w:rPr>
          <w:rFonts w:cs="HelveticaNeueLTStd-Th"/>
        </w:rPr>
        <w:t xml:space="preserve"> </w:t>
      </w:r>
      <w:r w:rsidR="00C65DFD">
        <w:rPr>
          <w:rFonts w:cs="HelveticaNeueLTStd-Th"/>
        </w:rPr>
        <w:t xml:space="preserve">(Smith, Stewart, </w:t>
      </w:r>
      <w:proofErr w:type="spellStart"/>
      <w:r w:rsidR="00C65DFD">
        <w:rPr>
          <w:rFonts w:cs="HelveticaNeueLTStd-Th"/>
        </w:rPr>
        <w:t>Poon</w:t>
      </w:r>
      <w:proofErr w:type="spellEnd"/>
      <w:r w:rsidR="00C65DFD">
        <w:rPr>
          <w:rFonts w:cs="HelveticaNeueLTStd-Th"/>
        </w:rPr>
        <w:t xml:space="preserve">, </w:t>
      </w:r>
      <w:proofErr w:type="spellStart"/>
      <w:r w:rsidR="00C65DFD">
        <w:rPr>
          <w:rFonts w:cs="HelveticaNeueLTStd-Th"/>
        </w:rPr>
        <w:t>Peled</w:t>
      </w:r>
      <w:proofErr w:type="spellEnd"/>
      <w:r w:rsidR="00C65DFD">
        <w:rPr>
          <w:rFonts w:cs="HelveticaNeueLTStd-Th"/>
        </w:rPr>
        <w:t xml:space="preserve">, </w:t>
      </w:r>
      <w:proofErr w:type="spellStart"/>
      <w:r w:rsidR="00C65DFD">
        <w:rPr>
          <w:rFonts w:cs="HelveticaNeueLTStd-Th"/>
        </w:rPr>
        <w:t>Saewyc</w:t>
      </w:r>
      <w:proofErr w:type="spellEnd"/>
      <w:r w:rsidR="00C65DFD">
        <w:rPr>
          <w:rFonts w:cs="HelveticaNeueLTStd-Th"/>
        </w:rPr>
        <w:t xml:space="preserve"> &amp; McCreary Centre, 2014)</w:t>
      </w:r>
      <w:r w:rsidR="00600A3E">
        <w:rPr>
          <w:rFonts w:cs="HelveticaNeueLTStd-Th"/>
        </w:rPr>
        <w:t>.</w:t>
      </w:r>
      <w:r w:rsidR="00E000C9">
        <w:rPr>
          <w:rFonts w:cs="HelveticaNeueLTStd-Th"/>
        </w:rPr>
        <w:t xml:space="preserve"> </w:t>
      </w:r>
      <w:r w:rsidR="00600A3E">
        <w:rPr>
          <w:rFonts w:cs="HelveticaNeueLTStd-Th"/>
        </w:rPr>
        <w:t>For example, w</w:t>
      </w:r>
      <w:r w:rsidR="005914E9">
        <w:rPr>
          <w:rFonts w:cs="HelveticaNeueLTStd-Th"/>
        </w:rPr>
        <w:t xml:space="preserve">hereas 3% of non-Aboriginal youth and </w:t>
      </w:r>
      <w:r w:rsidR="00D357A3">
        <w:rPr>
          <w:rFonts w:cs="HelveticaNeueLTStd-Th"/>
        </w:rPr>
        <w:t xml:space="preserve">12% of Aboriginal youth reported ever having been placed in government care (Smith, Stewart, et al, 2014; </w:t>
      </w:r>
      <w:proofErr w:type="spellStart"/>
      <w:r w:rsidR="00D357A3">
        <w:rPr>
          <w:rFonts w:cs="HelveticaNeueLTStd-Th"/>
        </w:rPr>
        <w:t>Tourand</w:t>
      </w:r>
      <w:proofErr w:type="spellEnd"/>
      <w:r w:rsidR="00D357A3">
        <w:rPr>
          <w:rFonts w:cs="HelveticaNeueLTStd-Th"/>
        </w:rPr>
        <w:t xml:space="preserve">, Smith, et al, 2016), just over half (51%) of homeless/street-involved youth and nearly two-thirds (65%) of youth in custody reported ever having been placed in government care (Smith, Stewart, et al, 2015; Smith, Cox, et al, </w:t>
      </w:r>
      <w:r w:rsidR="000F1099">
        <w:rPr>
          <w:rFonts w:cs="HelveticaNeueLTStd-Th"/>
        </w:rPr>
        <w:t xml:space="preserve">2013). Furthermore, whereas only 1% of non-Aboriginal youth and 4% of Aboriginal youth reported being in care at the time of the </w:t>
      </w:r>
      <w:r w:rsidR="000F1099">
        <w:rPr>
          <w:rFonts w:cs="HelveticaNeueLTStd-Th"/>
          <w:i/>
        </w:rPr>
        <w:t xml:space="preserve">BC AHS, </w:t>
      </w:r>
      <w:r w:rsidR="00D1216A">
        <w:rPr>
          <w:rFonts w:cs="HelveticaNeueLTStd-Th"/>
        </w:rPr>
        <w:t xml:space="preserve">14% of homeless/street-involved youth reported they were in some type of care arrangement at the time of their survey, and 32% of youth who were in custody reported they were in care at the time they were taken into custody (Smith, Cox, et al 2013; Smith, Stewart, et al, 2015. </w:t>
      </w:r>
      <w:r w:rsidR="002B2DBF">
        <w:rPr>
          <w:rFonts w:cs="HelveticaNeueLTStd-Th"/>
        </w:rPr>
        <w:t xml:space="preserve">The differences in the prevalence of other risk </w:t>
      </w:r>
      <w:r w:rsidR="002B2DBF">
        <w:rPr>
          <w:rFonts w:cs="HelveticaNeueLTStd-Th"/>
        </w:rPr>
        <w:lastRenderedPageBreak/>
        <w:t>factors such as the rate of physical and/or sexual abuse reported by</w:t>
      </w:r>
      <w:r w:rsidR="00E557B8">
        <w:rPr>
          <w:rFonts w:cs="HelveticaNeueLTStd-Th"/>
        </w:rPr>
        <w:t xml:space="preserve"> at</w:t>
      </w:r>
      <w:r w:rsidR="00517113">
        <w:rPr>
          <w:rFonts w:cs="HelveticaNeueLTStd-Th"/>
        </w:rPr>
        <w:t>-</w:t>
      </w:r>
      <w:r w:rsidR="00E557B8">
        <w:rPr>
          <w:rFonts w:cs="HelveticaNeueLTStd-Th"/>
        </w:rPr>
        <w:t xml:space="preserve">risk youth </w:t>
      </w:r>
      <w:r w:rsidR="002B2DBF">
        <w:rPr>
          <w:rFonts w:cs="HelveticaNeueLTStd-Th"/>
        </w:rPr>
        <w:t>compared to rates of abuse among</w:t>
      </w:r>
      <w:r w:rsidR="00E557B8">
        <w:rPr>
          <w:rFonts w:cs="HelveticaNeueLTStd-Th"/>
        </w:rPr>
        <w:t xml:space="preserve"> the </w:t>
      </w:r>
      <w:r w:rsidR="00E557B8">
        <w:rPr>
          <w:rFonts w:cs="HelveticaNeueLTStd-Th"/>
          <w:i/>
        </w:rPr>
        <w:t xml:space="preserve">BC AHS </w:t>
      </w:r>
      <w:r w:rsidR="00E557B8">
        <w:rPr>
          <w:rFonts w:cs="HelveticaNeueLTStd-Th"/>
        </w:rPr>
        <w:t>participants are summarized in Table 1</w:t>
      </w:r>
      <w:r w:rsidR="002F09A7">
        <w:rPr>
          <w:rFonts w:cs="HelveticaNeueLTStd-Th"/>
        </w:rPr>
        <w:t>, below</w:t>
      </w:r>
      <w:r w:rsidR="00E557B8">
        <w:rPr>
          <w:rFonts w:cs="HelveticaNeueLTStd-Th"/>
        </w:rPr>
        <w:t>:</w:t>
      </w:r>
    </w:p>
    <w:p w:rsidR="00E557B8" w:rsidRDefault="00E557B8" w:rsidP="00E43645">
      <w:pPr>
        <w:autoSpaceDE w:val="0"/>
        <w:autoSpaceDN w:val="0"/>
        <w:adjustRightInd w:val="0"/>
        <w:spacing w:after="0" w:line="240" w:lineRule="auto"/>
        <w:rPr>
          <w:rFonts w:cs="HelveticaNeueLTStd-Th"/>
        </w:rPr>
      </w:pPr>
    </w:p>
    <w:p w:rsidR="00F04492" w:rsidRDefault="00E557B8" w:rsidP="00E43645">
      <w:pPr>
        <w:autoSpaceDE w:val="0"/>
        <w:autoSpaceDN w:val="0"/>
        <w:adjustRightInd w:val="0"/>
        <w:spacing w:after="0" w:line="240" w:lineRule="auto"/>
        <w:rPr>
          <w:rFonts w:cs="HelveticaNeueLTStd-Th"/>
        </w:rPr>
      </w:pPr>
      <w:r w:rsidRPr="00E557B8">
        <w:rPr>
          <w:noProof/>
          <w:lang w:val="en-US"/>
        </w:rPr>
        <w:drawing>
          <wp:inline distT="0" distB="0" distL="0" distR="0">
            <wp:extent cx="5970270" cy="36476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7046" cy="3651745"/>
                    </a:xfrm>
                    <a:prstGeom prst="rect">
                      <a:avLst/>
                    </a:prstGeom>
                    <a:noFill/>
                    <a:ln w="9525">
                      <a:noFill/>
                      <a:miter lim="800000"/>
                      <a:headEnd/>
                      <a:tailEnd/>
                    </a:ln>
                  </pic:spPr>
                </pic:pic>
              </a:graphicData>
            </a:graphic>
          </wp:inline>
        </w:drawing>
      </w:r>
    </w:p>
    <w:p w:rsidR="00E557B8" w:rsidRDefault="00E557B8" w:rsidP="00E43645">
      <w:pPr>
        <w:autoSpaceDE w:val="0"/>
        <w:autoSpaceDN w:val="0"/>
        <w:adjustRightInd w:val="0"/>
        <w:spacing w:after="0" w:line="240" w:lineRule="auto"/>
        <w:rPr>
          <w:rFonts w:cs="HelveticaNeueLTStd-Th"/>
        </w:rPr>
      </w:pPr>
    </w:p>
    <w:p w:rsidR="002F09A7" w:rsidRDefault="007651C0" w:rsidP="00E43645">
      <w:pPr>
        <w:autoSpaceDE w:val="0"/>
        <w:autoSpaceDN w:val="0"/>
        <w:adjustRightInd w:val="0"/>
        <w:spacing w:after="0" w:line="240" w:lineRule="auto"/>
        <w:rPr>
          <w:rFonts w:cs="HelveticaNeueLTStd-Th"/>
        </w:rPr>
      </w:pPr>
      <w:r>
        <w:rPr>
          <w:rFonts w:cs="HelveticaNeueLTStd-Th"/>
        </w:rPr>
        <w:t xml:space="preserve">Smith, Cox, </w:t>
      </w:r>
      <w:r w:rsidR="000A7F5E">
        <w:rPr>
          <w:rFonts w:cs="HelveticaNeueLTStd-Th"/>
        </w:rPr>
        <w:t>et al</w:t>
      </w:r>
      <w:r>
        <w:rPr>
          <w:rFonts w:cs="HelveticaNeueLTStd-Th"/>
        </w:rPr>
        <w:t xml:space="preserve"> note that unlike youth in mainstream schools (i.e., youth who participated in the 2013 </w:t>
      </w:r>
      <w:r>
        <w:rPr>
          <w:rFonts w:cs="HelveticaNeueLTStd-Th"/>
          <w:i/>
        </w:rPr>
        <w:t xml:space="preserve">BC </w:t>
      </w:r>
      <w:r w:rsidRPr="007651C0">
        <w:rPr>
          <w:rFonts w:cs="HelveticaNeueLTStd-Th"/>
        </w:rPr>
        <w:t>AHS</w:t>
      </w:r>
      <w:r>
        <w:rPr>
          <w:rFonts w:cs="HelveticaNeueLTStd-Th"/>
        </w:rPr>
        <w:t>), youth in custody “were less likely to live with their parents, and more likely to have been in government care”</w:t>
      </w:r>
      <w:r w:rsidR="0088219A">
        <w:rPr>
          <w:rFonts w:cs="HelveticaNeueLTStd-Th"/>
        </w:rPr>
        <w:t xml:space="preserve"> (2013, p. 4)</w:t>
      </w:r>
      <w:r w:rsidR="004833C9">
        <w:rPr>
          <w:rFonts w:cs="HelveticaNeueLTStd-Th"/>
        </w:rPr>
        <w:t>.</w:t>
      </w:r>
      <w:r w:rsidR="00120D67">
        <w:rPr>
          <w:rFonts w:cs="HelveticaNeueLTStd-Th"/>
        </w:rPr>
        <w:t xml:space="preserve"> </w:t>
      </w:r>
      <w:r w:rsidR="008D5C42">
        <w:rPr>
          <w:rFonts w:cs="HelveticaNeueLTStd-Th"/>
        </w:rPr>
        <w:t xml:space="preserve">The majority of the justice-involved youth in Smith, Cox, et </w:t>
      </w:r>
      <w:proofErr w:type="spellStart"/>
      <w:r w:rsidR="008D5C42">
        <w:rPr>
          <w:rFonts w:cs="HelveticaNeueLTStd-Th"/>
        </w:rPr>
        <w:t>al’s</w:t>
      </w:r>
      <w:proofErr w:type="spellEnd"/>
      <w:r w:rsidR="008D5C42">
        <w:rPr>
          <w:rFonts w:cs="HelveticaNeueLTStd-Th"/>
        </w:rPr>
        <w:t xml:space="preserve"> (2013) study</w:t>
      </w:r>
      <w:r w:rsidR="0088219A">
        <w:rPr>
          <w:rFonts w:cs="HelveticaNeueLTStd-Th"/>
        </w:rPr>
        <w:t xml:space="preserve"> are what is known as “cross-over </w:t>
      </w:r>
      <w:r w:rsidR="008D5C42">
        <w:rPr>
          <w:rFonts w:cs="HelveticaNeueLTStd-Th"/>
        </w:rPr>
        <w:t>youth</w:t>
      </w:r>
      <w:r w:rsidR="0088219A">
        <w:rPr>
          <w:rFonts w:cs="HelveticaNeueLTStd-Th"/>
        </w:rPr>
        <w:t>”</w:t>
      </w:r>
      <w:r w:rsidR="008D5C42">
        <w:rPr>
          <w:rFonts w:cs="HelveticaNeueLTStd-Th"/>
        </w:rPr>
        <w:t>:</w:t>
      </w:r>
      <w:r w:rsidR="004800CA">
        <w:rPr>
          <w:rFonts w:cs="HelveticaNeueLTStd-Th"/>
        </w:rPr>
        <w:t xml:space="preserve"> traumatized </w:t>
      </w:r>
      <w:r w:rsidR="008D5C42">
        <w:rPr>
          <w:rFonts w:cs="HelveticaNeueLTStd-Th"/>
        </w:rPr>
        <w:t>youth</w:t>
      </w:r>
      <w:r w:rsidR="0088219A">
        <w:rPr>
          <w:rFonts w:cs="HelveticaNeueLTStd-Th"/>
        </w:rPr>
        <w:t xml:space="preserve"> </w:t>
      </w:r>
      <w:r w:rsidR="004800CA">
        <w:rPr>
          <w:rFonts w:cs="HelveticaNeueLTStd-Th"/>
        </w:rPr>
        <w:t xml:space="preserve">in the child protection welfare system who, </w:t>
      </w:r>
      <w:r w:rsidR="002B2DBF">
        <w:rPr>
          <w:rFonts w:cs="HelveticaNeueLTStd-Th"/>
        </w:rPr>
        <w:t xml:space="preserve">as a result of post-traumatic stress and poor coping skills </w:t>
      </w:r>
      <w:r w:rsidR="004800CA">
        <w:rPr>
          <w:rFonts w:cs="HelveticaNeueLTStd-Th"/>
        </w:rPr>
        <w:t xml:space="preserve">“act out” </w:t>
      </w:r>
      <w:r w:rsidR="002B2DBF">
        <w:rPr>
          <w:rFonts w:cs="HelveticaNeueLTStd-Th"/>
        </w:rPr>
        <w:t xml:space="preserve">in ways that bring them into contact with the criminal justice system </w:t>
      </w:r>
      <w:r w:rsidR="0088219A">
        <w:rPr>
          <w:rFonts w:cs="HelveticaNeueLTStd-Th"/>
        </w:rPr>
        <w:t xml:space="preserve">(Scully &amp; Finlay, 2005; </w:t>
      </w:r>
      <w:proofErr w:type="spellStart"/>
      <w:r w:rsidR="0088219A">
        <w:rPr>
          <w:rFonts w:cs="HelveticaNeueLTStd-Th"/>
        </w:rPr>
        <w:t>Corrado</w:t>
      </w:r>
      <w:proofErr w:type="spellEnd"/>
      <w:r w:rsidR="0088219A">
        <w:rPr>
          <w:rFonts w:cs="HelveticaNeueLTStd-Th"/>
        </w:rPr>
        <w:t xml:space="preserve">, Freedman &amp; </w:t>
      </w:r>
      <w:proofErr w:type="spellStart"/>
      <w:r w:rsidR="0088219A">
        <w:rPr>
          <w:rFonts w:cs="HelveticaNeueLTStd-Th"/>
        </w:rPr>
        <w:t>Blathier</w:t>
      </w:r>
      <w:proofErr w:type="spellEnd"/>
      <w:r w:rsidR="0088219A">
        <w:rPr>
          <w:rFonts w:cs="HelveticaNeueLTStd-Th"/>
        </w:rPr>
        <w:t>, 2011). F</w:t>
      </w:r>
      <w:r w:rsidR="00120D67">
        <w:rPr>
          <w:rFonts w:cs="HelveticaNeueLTStd-Th"/>
        </w:rPr>
        <w:t>urthermore the majority of youth in custody</w:t>
      </w:r>
      <w:r w:rsidR="00517113">
        <w:rPr>
          <w:rFonts w:cs="HelveticaNeueLTStd-Th"/>
        </w:rPr>
        <w:t xml:space="preserve"> “experienced very challenging circum</w:t>
      </w:r>
      <w:r w:rsidR="0088219A">
        <w:rPr>
          <w:rFonts w:cs="HelveticaNeueLTStd-Th"/>
        </w:rPr>
        <w:t>stances in their formative years, including high rates of housing instability, family problems,</w:t>
      </w:r>
      <w:r>
        <w:rPr>
          <w:rFonts w:cs="HelveticaNeueLTStd-Th"/>
        </w:rPr>
        <w:t xml:space="preserve"> </w:t>
      </w:r>
      <w:r w:rsidR="000A7F5E">
        <w:rPr>
          <w:rFonts w:cs="HelveticaNeueLTStd-Th"/>
        </w:rPr>
        <w:t xml:space="preserve">bereavement, abuse, victimization, </w:t>
      </w:r>
      <w:r>
        <w:rPr>
          <w:rFonts w:cs="HelveticaNeueLTStd-Th"/>
        </w:rPr>
        <w:t>and</w:t>
      </w:r>
      <w:r w:rsidR="000A7F5E">
        <w:rPr>
          <w:rFonts w:cs="HelveticaNeueLTStd-Th"/>
        </w:rPr>
        <w:t xml:space="preserve"> challenges at school” (Smith, Cox, et al, 2013, p. 4). </w:t>
      </w:r>
      <w:r w:rsidR="004F0241">
        <w:rPr>
          <w:rFonts w:cs="HelveticaNeueLTStd-Th"/>
        </w:rPr>
        <w:t>Seventy percent of y</w:t>
      </w:r>
      <w:r w:rsidR="009F72EA">
        <w:rPr>
          <w:rFonts w:cs="HelveticaNeueLTStd-Th"/>
        </w:rPr>
        <w:t>outh in custody were also more likely to have at least one relative involved in criminal behaviour</w:t>
      </w:r>
      <w:r w:rsidR="004F0241">
        <w:rPr>
          <w:rFonts w:cs="HelveticaNeueLTStd-Th"/>
        </w:rPr>
        <w:t>, which increased the likelihood that a youth would get into conflict with the legal system at an earlier age (Smith, Cox, et al, 2013, p. 4).</w:t>
      </w:r>
    </w:p>
    <w:p w:rsidR="002F09A7" w:rsidRDefault="002F09A7" w:rsidP="00E43645">
      <w:pPr>
        <w:autoSpaceDE w:val="0"/>
        <w:autoSpaceDN w:val="0"/>
        <w:adjustRightInd w:val="0"/>
        <w:spacing w:after="0" w:line="240" w:lineRule="auto"/>
        <w:rPr>
          <w:rFonts w:cs="HelveticaNeueLTStd-Th"/>
        </w:rPr>
      </w:pPr>
    </w:p>
    <w:p w:rsidR="00E557B8" w:rsidRDefault="000A7F5E" w:rsidP="00E43645">
      <w:pPr>
        <w:autoSpaceDE w:val="0"/>
        <w:autoSpaceDN w:val="0"/>
        <w:adjustRightInd w:val="0"/>
        <w:spacing w:after="0" w:line="240" w:lineRule="auto"/>
        <w:rPr>
          <w:rFonts w:cs="HelveticaNeueLTStd-Th"/>
        </w:rPr>
      </w:pPr>
      <w:r>
        <w:rPr>
          <w:rFonts w:cs="HelveticaNeueLTStd-Th"/>
        </w:rPr>
        <w:t>Smith, Cox, et al</w:t>
      </w:r>
      <w:r w:rsidR="00BF7EF8">
        <w:rPr>
          <w:rFonts w:cs="HelveticaNeueLTStd-Th"/>
        </w:rPr>
        <w:t xml:space="preserve"> (2013) </w:t>
      </w:r>
      <w:r>
        <w:rPr>
          <w:rFonts w:cs="HelveticaNeueLTStd-Th"/>
        </w:rPr>
        <w:t>not</w:t>
      </w:r>
      <w:r w:rsidR="002A45C6">
        <w:rPr>
          <w:rFonts w:cs="HelveticaNeueLTStd-Th"/>
        </w:rPr>
        <w:t>e</w:t>
      </w:r>
      <w:r>
        <w:rPr>
          <w:rFonts w:cs="HelveticaNeueLTStd-Th"/>
        </w:rPr>
        <w:t xml:space="preserve"> that youth in custody are also </w:t>
      </w:r>
      <w:r w:rsidR="007651C0">
        <w:rPr>
          <w:rFonts w:cs="HelveticaNeueLTStd-Th"/>
        </w:rPr>
        <w:t>more likely</w:t>
      </w:r>
      <w:r>
        <w:rPr>
          <w:rFonts w:cs="HelveticaNeueLTStd-Th"/>
        </w:rPr>
        <w:t xml:space="preserve"> </w:t>
      </w:r>
      <w:r w:rsidR="007651C0">
        <w:rPr>
          <w:rFonts w:cs="HelveticaNeueLTStd-Th"/>
        </w:rPr>
        <w:t xml:space="preserve">to </w:t>
      </w:r>
      <w:r w:rsidR="00120D67">
        <w:rPr>
          <w:rFonts w:cs="HelveticaNeueLTStd-Th"/>
        </w:rPr>
        <w:t>experience one or more health challenges</w:t>
      </w:r>
      <w:r w:rsidR="00EA4F05">
        <w:rPr>
          <w:rFonts w:cs="HelveticaNeueLTStd-Th"/>
        </w:rPr>
        <w:t xml:space="preserve"> than youth who attend school. Forty-eight percent</w:t>
      </w:r>
      <w:r>
        <w:rPr>
          <w:rFonts w:cs="HelveticaNeueLTStd-Th"/>
        </w:rPr>
        <w:t xml:space="preserve"> of incarcerated youth reported struggling with </w:t>
      </w:r>
      <w:r w:rsidR="002A45C6">
        <w:rPr>
          <w:rFonts w:cs="HelveticaNeueLTStd-Th"/>
        </w:rPr>
        <w:t>behavioural problems,</w:t>
      </w:r>
      <w:r w:rsidR="00120D67">
        <w:rPr>
          <w:rFonts w:cs="HelveticaNeueLTStd-Th"/>
        </w:rPr>
        <w:t xml:space="preserve"> </w:t>
      </w:r>
      <w:r w:rsidR="002A45C6">
        <w:rPr>
          <w:rFonts w:cs="HelveticaNeueLTStd-Th"/>
        </w:rPr>
        <w:t xml:space="preserve">26% reported </w:t>
      </w:r>
      <w:r w:rsidR="00EA4F05">
        <w:rPr>
          <w:rFonts w:cs="HelveticaNeueLTStd-Th"/>
        </w:rPr>
        <w:t xml:space="preserve">a </w:t>
      </w:r>
      <w:r w:rsidR="00120D67">
        <w:rPr>
          <w:rFonts w:cs="HelveticaNeueLTStd-Th"/>
        </w:rPr>
        <w:t>me</w:t>
      </w:r>
      <w:r w:rsidR="00E519E7">
        <w:rPr>
          <w:rFonts w:cs="HelveticaNeueLTStd-Th"/>
        </w:rPr>
        <w:t>ntal/emotional health condition</w:t>
      </w:r>
      <w:r w:rsidR="00550708">
        <w:rPr>
          <w:rStyle w:val="FootnoteReference"/>
          <w:rFonts w:cs="HelveticaNeueLTStd-Th"/>
        </w:rPr>
        <w:footnoteReference w:id="4"/>
      </w:r>
      <w:r w:rsidR="002A45C6">
        <w:rPr>
          <w:rFonts w:cs="HelveticaNeueLTStd-Th"/>
        </w:rPr>
        <w:t>,</w:t>
      </w:r>
      <w:r w:rsidR="00550708">
        <w:rPr>
          <w:rFonts w:cs="HelveticaNeueLTStd-Th"/>
        </w:rPr>
        <w:t xml:space="preserve"> 9% of the youth in custody reported they suffered from PTSD, </w:t>
      </w:r>
      <w:r w:rsidR="002F09A7">
        <w:rPr>
          <w:rFonts w:cs="HelveticaNeueLTStd-Th"/>
        </w:rPr>
        <w:t xml:space="preserve">21% reported they had been diagnosed with Fetal Alcohol </w:t>
      </w:r>
      <w:r w:rsidR="002F09A7">
        <w:rPr>
          <w:rFonts w:cs="HelveticaNeueLTStd-Th"/>
        </w:rPr>
        <w:lastRenderedPageBreak/>
        <w:t>Spectrum Disorder (FASD)</w:t>
      </w:r>
      <w:r w:rsidR="00EA4F05">
        <w:rPr>
          <w:rFonts w:cs="HelveticaNeueLTStd-Th"/>
        </w:rPr>
        <w:t>,</w:t>
      </w:r>
      <w:r w:rsidR="00550708">
        <w:rPr>
          <w:rStyle w:val="FootnoteReference"/>
          <w:rFonts w:cs="HelveticaNeueLTStd-Th"/>
        </w:rPr>
        <w:footnoteReference w:id="5"/>
      </w:r>
      <w:r w:rsidR="002F09A7">
        <w:rPr>
          <w:rFonts w:cs="HelveticaNeueLTStd-Th"/>
        </w:rPr>
        <w:t xml:space="preserve"> and</w:t>
      </w:r>
      <w:r w:rsidR="00002419">
        <w:rPr>
          <w:rFonts w:cs="HelveticaNeueLTStd-Th"/>
        </w:rPr>
        <w:t xml:space="preserve"> </w:t>
      </w:r>
      <w:r w:rsidR="00120D67">
        <w:rPr>
          <w:rFonts w:cs="HelveticaNeueLTStd-Th"/>
        </w:rPr>
        <w:t>26%</w:t>
      </w:r>
      <w:r w:rsidR="002A45C6">
        <w:rPr>
          <w:rFonts w:cs="HelveticaNeueLTStd-Th"/>
        </w:rPr>
        <w:t xml:space="preserve"> </w:t>
      </w:r>
      <w:r w:rsidR="002F09A7">
        <w:rPr>
          <w:rFonts w:cs="HelveticaNeueLTStd-Th"/>
        </w:rPr>
        <w:t xml:space="preserve">of youth in custody </w:t>
      </w:r>
      <w:r w:rsidR="002A45C6">
        <w:rPr>
          <w:rFonts w:cs="HelveticaNeueLTStd-Th"/>
        </w:rPr>
        <w:t>reported</w:t>
      </w:r>
      <w:r w:rsidR="00120D67">
        <w:rPr>
          <w:rFonts w:cs="HelveticaNeueLTStd-Th"/>
        </w:rPr>
        <w:t xml:space="preserve"> addiction problems</w:t>
      </w:r>
      <w:r>
        <w:rPr>
          <w:rFonts w:cs="HelveticaNeueLTStd-Th"/>
        </w:rPr>
        <w:t xml:space="preserve"> (</w:t>
      </w:r>
      <w:r w:rsidR="002A45C6">
        <w:rPr>
          <w:rFonts w:cs="HelveticaNeueLTStd-Th"/>
        </w:rPr>
        <w:t>2013, p. 22</w:t>
      </w:r>
      <w:r>
        <w:rPr>
          <w:rFonts w:cs="HelveticaNeueLTStd-Th"/>
        </w:rPr>
        <w:t>)</w:t>
      </w:r>
      <w:r w:rsidR="00A2110C">
        <w:rPr>
          <w:rFonts w:cs="HelveticaNeueLTStd-Th"/>
        </w:rPr>
        <w:t>.</w:t>
      </w:r>
      <w:r w:rsidR="00740375">
        <w:rPr>
          <w:rFonts w:cs="HelveticaNeueLTStd-Th"/>
        </w:rPr>
        <w:t xml:space="preserve"> </w:t>
      </w:r>
      <w:r w:rsidR="00A2110C">
        <w:rPr>
          <w:rFonts w:cs="HelveticaNeueLTStd-Th"/>
        </w:rPr>
        <w:t xml:space="preserve">Given that a </w:t>
      </w:r>
      <w:r w:rsidR="00740375">
        <w:rPr>
          <w:rFonts w:cs="HelveticaNeueLTStd-Th"/>
        </w:rPr>
        <w:t>2011 study designed to assess the prevalence of mental health issues among youth in British Columbia’s youth custody centres found almost all youth (</w:t>
      </w:r>
      <w:r w:rsidR="00A2110C">
        <w:rPr>
          <w:rFonts w:cs="HelveticaNeueLTStd-Th"/>
        </w:rPr>
        <w:t>91.9% of males and 100% of females) met the criteria for a psychiatric diagnosis, it is possible that just relying on the self-reports of youth results in an underestimation of the true prevalence of mental health issues among detained youth (</w:t>
      </w:r>
      <w:proofErr w:type="spellStart"/>
      <w:r w:rsidR="00A2110C">
        <w:rPr>
          <w:rFonts w:cs="HelveticaNeueLTStd-Th"/>
        </w:rPr>
        <w:t>Gretton</w:t>
      </w:r>
      <w:proofErr w:type="spellEnd"/>
      <w:r w:rsidR="00A2110C">
        <w:rPr>
          <w:rFonts w:cs="HelveticaNeueLTStd-Th"/>
        </w:rPr>
        <w:t xml:space="preserve"> &amp; Clift, 2011).</w:t>
      </w:r>
    </w:p>
    <w:p w:rsidR="004F0241" w:rsidRDefault="004F0241" w:rsidP="00E43645">
      <w:pPr>
        <w:autoSpaceDE w:val="0"/>
        <w:autoSpaceDN w:val="0"/>
        <w:adjustRightInd w:val="0"/>
        <w:spacing w:after="0" w:line="240" w:lineRule="auto"/>
        <w:rPr>
          <w:rFonts w:cs="HelveticaNeueLTStd-Th"/>
        </w:rPr>
      </w:pPr>
    </w:p>
    <w:p w:rsidR="002A45C6" w:rsidRDefault="002A45C6" w:rsidP="00E43645">
      <w:pPr>
        <w:autoSpaceDE w:val="0"/>
        <w:autoSpaceDN w:val="0"/>
        <w:adjustRightInd w:val="0"/>
        <w:spacing w:after="0" w:line="240" w:lineRule="auto"/>
        <w:rPr>
          <w:rFonts w:cs="HelveticaNeueLTStd-Th"/>
        </w:rPr>
      </w:pPr>
      <w:r>
        <w:rPr>
          <w:rFonts w:cs="HelveticaNeueLTStd-Th"/>
        </w:rPr>
        <w:t xml:space="preserve">Similar to youth in custody, homeless/street-involved youth and youth who </w:t>
      </w:r>
      <w:r w:rsidR="00EA4F05">
        <w:rPr>
          <w:rFonts w:cs="HelveticaNeueLTStd-Th"/>
        </w:rPr>
        <w:t>are</w:t>
      </w:r>
      <w:r>
        <w:rPr>
          <w:rFonts w:cs="HelveticaNeueLTStd-Th"/>
        </w:rPr>
        <w:t xml:space="preserve"> struggling with mental health and/or substance use disorders</w:t>
      </w:r>
      <w:r w:rsidR="00F80080">
        <w:rPr>
          <w:rStyle w:val="FootnoteReference"/>
          <w:rFonts w:cs="HelveticaNeueLTStd-Th"/>
        </w:rPr>
        <w:footnoteReference w:id="6"/>
      </w:r>
      <w:r>
        <w:rPr>
          <w:rFonts w:cs="HelveticaNeueLTStd-Th"/>
        </w:rPr>
        <w:t xml:space="preserve"> also </w:t>
      </w:r>
      <w:r w:rsidR="00F80080">
        <w:rPr>
          <w:rFonts w:cs="HelveticaNeueLTStd-Th"/>
        </w:rPr>
        <w:t xml:space="preserve">experienced challenging </w:t>
      </w:r>
      <w:r w:rsidR="00DF36F7">
        <w:rPr>
          <w:rFonts w:cs="HelveticaNeueLTStd-Th"/>
        </w:rPr>
        <w:t xml:space="preserve">life </w:t>
      </w:r>
      <w:r w:rsidR="00F80080">
        <w:rPr>
          <w:rFonts w:cs="HelveticaNeueLTStd-Th"/>
        </w:rPr>
        <w:t>circumstances</w:t>
      </w:r>
      <w:r w:rsidR="00DF36F7">
        <w:rPr>
          <w:rFonts w:cs="HelveticaNeueLTStd-Th"/>
        </w:rPr>
        <w:t>, both in the past and the present (Smith, Stewart, et al, 2015; Cox, Smith, et al, 2013</w:t>
      </w:r>
      <w:r w:rsidR="00602674">
        <w:rPr>
          <w:rFonts w:cs="HelveticaNeueLTStd-Th"/>
        </w:rPr>
        <w:t xml:space="preserve">). </w:t>
      </w:r>
      <w:r w:rsidR="00761493">
        <w:rPr>
          <w:rFonts w:cs="HelveticaNeueLTStd-Th"/>
        </w:rPr>
        <w:t xml:space="preserve">Both the homeless/street-involved youth and the youth struggling with concurrent mental health and substance use </w:t>
      </w:r>
      <w:r w:rsidR="00BC1B8F">
        <w:rPr>
          <w:rFonts w:cs="HelveticaNeueLTStd-Th"/>
        </w:rPr>
        <w:t>disorders</w:t>
      </w:r>
      <w:r w:rsidR="00761493">
        <w:rPr>
          <w:rFonts w:cs="HelveticaNeueLTStd-Th"/>
        </w:rPr>
        <w:t xml:space="preserve"> cited traumatic</w:t>
      </w:r>
      <w:r w:rsidR="00F82C6A">
        <w:rPr>
          <w:rFonts w:cs="HelveticaNeueLTStd-Th"/>
        </w:rPr>
        <w:t xml:space="preserve"> and adverse</w:t>
      </w:r>
      <w:r w:rsidR="00761493">
        <w:rPr>
          <w:rFonts w:cs="HelveticaNeueLTStd-Th"/>
        </w:rPr>
        <w:t xml:space="preserve"> experiences that included </w:t>
      </w:r>
      <w:r w:rsidR="00D459AF">
        <w:rPr>
          <w:rFonts w:cs="HelveticaNeueLTStd-Th"/>
        </w:rPr>
        <w:t xml:space="preserve">being </w:t>
      </w:r>
      <w:r w:rsidR="00761493">
        <w:rPr>
          <w:rFonts w:cs="HelveticaNeueLTStd-Th"/>
        </w:rPr>
        <w:t>physical</w:t>
      </w:r>
      <w:r w:rsidR="00D459AF">
        <w:rPr>
          <w:rFonts w:cs="HelveticaNeueLTStd-Th"/>
        </w:rPr>
        <w:t>ly</w:t>
      </w:r>
      <w:r w:rsidR="00761493">
        <w:rPr>
          <w:rFonts w:cs="HelveticaNeueLTStd-Th"/>
        </w:rPr>
        <w:t xml:space="preserve"> </w:t>
      </w:r>
      <w:r w:rsidR="00D459AF">
        <w:rPr>
          <w:rFonts w:cs="HelveticaNeueLTStd-Th"/>
        </w:rPr>
        <w:t>or</w:t>
      </w:r>
      <w:r w:rsidR="00761493">
        <w:rPr>
          <w:rFonts w:cs="HelveticaNeueLTStd-Th"/>
        </w:rPr>
        <w:t xml:space="preserve"> sexual</w:t>
      </w:r>
      <w:r w:rsidR="00D459AF">
        <w:rPr>
          <w:rFonts w:cs="HelveticaNeueLTStd-Th"/>
        </w:rPr>
        <w:t>ly</w:t>
      </w:r>
      <w:r w:rsidR="00761493">
        <w:rPr>
          <w:rFonts w:cs="HelveticaNeueLTStd-Th"/>
        </w:rPr>
        <w:t xml:space="preserve"> abuse</w:t>
      </w:r>
      <w:r w:rsidR="00D459AF">
        <w:rPr>
          <w:rFonts w:cs="HelveticaNeueLTStd-Th"/>
        </w:rPr>
        <w:t>d</w:t>
      </w:r>
      <w:r w:rsidR="00405CBD">
        <w:rPr>
          <w:rFonts w:cs="HelveticaNeueLTStd-Th"/>
        </w:rPr>
        <w:t xml:space="preserve">; </w:t>
      </w:r>
      <w:r w:rsidR="00F82C6A">
        <w:rPr>
          <w:rFonts w:cs="HelveticaNeueLTStd-Th"/>
        </w:rPr>
        <w:t xml:space="preserve">dealing with </w:t>
      </w:r>
      <w:r w:rsidR="00405CBD">
        <w:rPr>
          <w:rFonts w:cs="HelveticaNeueLTStd-Th"/>
        </w:rPr>
        <w:t>family difficulties such as parental mental health or substance use disorders, multi-generational foster care cycles and intergenerational historical traumas from residential schools</w:t>
      </w:r>
      <w:r w:rsidR="00BC1B8F">
        <w:rPr>
          <w:rFonts w:cs="HelveticaNeueLTStd-Th"/>
        </w:rPr>
        <w:t>;</w:t>
      </w:r>
      <w:r w:rsidR="00761493">
        <w:rPr>
          <w:rFonts w:cs="HelveticaNeueLTStd-Th"/>
        </w:rPr>
        <w:t xml:space="preserve"> being kicked out of home or running away from home</w:t>
      </w:r>
      <w:r w:rsidR="00BC1B8F">
        <w:rPr>
          <w:rFonts w:cs="HelveticaNeueLTStd-Th"/>
        </w:rPr>
        <w:t>;</w:t>
      </w:r>
      <w:r w:rsidR="00761493">
        <w:rPr>
          <w:rFonts w:cs="HelveticaNeueLTStd-Th"/>
        </w:rPr>
        <w:t xml:space="preserve"> </w:t>
      </w:r>
      <w:r w:rsidR="00D459AF">
        <w:rPr>
          <w:rFonts w:cs="HelveticaNeueLTStd-Th"/>
        </w:rPr>
        <w:t>losing a family member through death or divorce, being detained in a youth custody center, being homeless, and coping with mental health issues</w:t>
      </w:r>
      <w:r w:rsidR="00B05450">
        <w:rPr>
          <w:rFonts w:cs="HelveticaNeueLTStd-Th"/>
        </w:rPr>
        <w:t xml:space="preserve"> and substance use problems</w:t>
      </w:r>
      <w:r w:rsidR="00F82C6A">
        <w:rPr>
          <w:rFonts w:cs="HelveticaNeueLTStd-Th"/>
        </w:rPr>
        <w:t xml:space="preserve"> (Smith, Stewart, et al, 2015; Cox, Smith, et al, 2013)</w:t>
      </w:r>
      <w:r w:rsidR="00D459AF">
        <w:rPr>
          <w:rFonts w:cs="HelveticaNeueLTStd-Th"/>
        </w:rPr>
        <w:t xml:space="preserve">. </w:t>
      </w:r>
      <w:r w:rsidR="00DF36F7">
        <w:rPr>
          <w:rFonts w:cs="HelveticaNeueLTStd-Th"/>
        </w:rPr>
        <w:t xml:space="preserve"> </w:t>
      </w:r>
    </w:p>
    <w:p w:rsidR="00774FA3" w:rsidRDefault="00774FA3" w:rsidP="00E43645">
      <w:pPr>
        <w:autoSpaceDE w:val="0"/>
        <w:autoSpaceDN w:val="0"/>
        <w:adjustRightInd w:val="0"/>
        <w:spacing w:after="0" w:line="240" w:lineRule="auto"/>
        <w:rPr>
          <w:rFonts w:cs="HelveticaNeueLTStd-Th"/>
        </w:rPr>
      </w:pPr>
    </w:p>
    <w:p w:rsidR="00F82C6A" w:rsidRDefault="00F82C6A" w:rsidP="00E43645">
      <w:pPr>
        <w:autoSpaceDE w:val="0"/>
        <w:autoSpaceDN w:val="0"/>
        <w:adjustRightInd w:val="0"/>
        <w:spacing w:after="0" w:line="240" w:lineRule="auto"/>
        <w:rPr>
          <w:rFonts w:cs="HelveticaNeueLTStd-Th"/>
        </w:rPr>
      </w:pPr>
      <w:r>
        <w:rPr>
          <w:rFonts w:cs="HelveticaNeueLTStd-Th"/>
        </w:rPr>
        <w:t xml:space="preserve">Mental health issues and substance use problems were </w:t>
      </w:r>
      <w:r w:rsidR="00FD35DE">
        <w:rPr>
          <w:rFonts w:cs="HelveticaNeueLTStd-Th"/>
        </w:rPr>
        <w:t>highly</w:t>
      </w:r>
      <w:r>
        <w:rPr>
          <w:rFonts w:cs="HelveticaNeueLTStd-Th"/>
        </w:rPr>
        <w:t xml:space="preserve"> prevalent among</w:t>
      </w:r>
      <w:r w:rsidR="00FD35DE">
        <w:rPr>
          <w:rFonts w:cs="HelveticaNeueLTStd-Th"/>
        </w:rPr>
        <w:t xml:space="preserve"> both </w:t>
      </w:r>
      <w:r>
        <w:rPr>
          <w:rFonts w:cs="HelveticaNeueLTStd-Th"/>
        </w:rPr>
        <w:t>the homeless/street involved youth study cohort</w:t>
      </w:r>
      <w:r w:rsidR="00FD35DE">
        <w:rPr>
          <w:rFonts w:cs="HelveticaNeueLTStd-Th"/>
        </w:rPr>
        <w:t xml:space="preserve"> and the study cohort of</w:t>
      </w:r>
      <w:r>
        <w:rPr>
          <w:rFonts w:cs="HelveticaNeueLTStd-Th"/>
        </w:rPr>
        <w:t xml:space="preserve"> youth struggling with concurrent mental health</w:t>
      </w:r>
      <w:r w:rsidR="00FD35DE">
        <w:rPr>
          <w:rFonts w:cs="HelveticaNeueLTStd-Th"/>
        </w:rPr>
        <w:t xml:space="preserve"> issues</w:t>
      </w:r>
      <w:r>
        <w:rPr>
          <w:rFonts w:cs="HelveticaNeueLTStd-Th"/>
        </w:rPr>
        <w:t xml:space="preserve"> and substance use disorders</w:t>
      </w:r>
      <w:r w:rsidR="00FD35DE">
        <w:rPr>
          <w:rFonts w:cs="HelveticaNeueLTStd-Th"/>
        </w:rPr>
        <w:t xml:space="preserve">: 68% of the homeless/street-involved youth (Smith, Stewart, et al, </w:t>
      </w:r>
      <w:r w:rsidR="00740375">
        <w:rPr>
          <w:rFonts w:cs="HelveticaNeueLTStd-Th"/>
        </w:rPr>
        <w:t xml:space="preserve">2015, p. 32) and 85% of youth with concurrent mental health and substance use issues (Cox, Smith, et al, 2013, p.18) reported having at least one specific </w:t>
      </w:r>
      <w:r w:rsidR="00DB3191">
        <w:rPr>
          <w:rFonts w:cs="HelveticaNeueLTStd-Th"/>
        </w:rPr>
        <w:t xml:space="preserve">mental health </w:t>
      </w:r>
      <w:r w:rsidR="00740375">
        <w:rPr>
          <w:rFonts w:cs="HelveticaNeueLTStd-Th"/>
        </w:rPr>
        <w:t>diagnosis</w:t>
      </w:r>
      <w:r w:rsidR="002137B3">
        <w:rPr>
          <w:rFonts w:cs="HelveticaNeueLTStd-Th"/>
        </w:rPr>
        <w:t xml:space="preserve">. </w:t>
      </w:r>
      <w:r w:rsidR="00003B05">
        <w:rPr>
          <w:rFonts w:cs="HelveticaNeueLTStd-Th"/>
        </w:rPr>
        <w:t>According</w:t>
      </w:r>
      <w:r w:rsidR="00091AA8">
        <w:rPr>
          <w:rFonts w:cs="HelveticaNeueLTStd-Th"/>
        </w:rPr>
        <w:t xml:space="preserve"> </w:t>
      </w:r>
      <w:r w:rsidR="00003B05">
        <w:rPr>
          <w:rFonts w:cs="HelveticaNeueLTStd-Th"/>
        </w:rPr>
        <w:t>to Smith, Stewart, et al</w:t>
      </w:r>
      <w:r w:rsidR="00091AA8">
        <w:rPr>
          <w:rFonts w:cs="HelveticaNeueLTStd-Th"/>
        </w:rPr>
        <w:t xml:space="preserve"> (2015, p 32)</w:t>
      </w:r>
      <w:r w:rsidR="00003B05">
        <w:rPr>
          <w:rFonts w:cs="HelveticaNeueLTStd-Th"/>
        </w:rPr>
        <w:t xml:space="preserve">, the most common diagnoses among homeless and street-involved female youth include depression (60%), chronic anxiety/panic attacks (38%), and PTSD (24%), whereas homeless/ street-involved youth were more likely to report diagnoses such as </w:t>
      </w:r>
      <w:r w:rsidR="00091AA8">
        <w:rPr>
          <w:rFonts w:cs="HelveticaNeueLTStd-Th"/>
        </w:rPr>
        <w:t>ADHD (31%) or depression (31%). Twenty-three percent of homeless/street-involved youth reported addiction problems (Smith, Stewart, et al, 2015</w:t>
      </w:r>
      <w:r w:rsidR="00003B05">
        <w:rPr>
          <w:rFonts w:cs="HelveticaNeueLTStd-Th"/>
        </w:rPr>
        <w:t>,</w:t>
      </w:r>
      <w:r w:rsidR="00091AA8">
        <w:rPr>
          <w:rFonts w:cs="HelveticaNeueLTStd-Th"/>
        </w:rPr>
        <w:t xml:space="preserve"> p. 32). Cox, Smith, et al (2013, p. 18) report that among youth with concurrent mental health conditions or substance use disorders, the most common diagnoses were depression (64%), anxiety disorders/panic attacks (55%), and substance misuse (56%)</w:t>
      </w:r>
      <w:r w:rsidR="00445C6F">
        <w:rPr>
          <w:rFonts w:cs="HelveticaNeueLTStd-Th"/>
        </w:rPr>
        <w:t>.</w:t>
      </w:r>
      <w:r w:rsidR="00091AA8">
        <w:rPr>
          <w:rFonts w:cs="HelveticaNeueLTStd-Th"/>
        </w:rPr>
        <w:t xml:space="preserve"> </w:t>
      </w:r>
      <w:r w:rsidR="00445C6F">
        <w:rPr>
          <w:rFonts w:cs="HelveticaNeueLTStd-Th"/>
        </w:rPr>
        <w:t>A</w:t>
      </w:r>
      <w:r w:rsidR="00091AA8">
        <w:rPr>
          <w:rFonts w:cs="HelveticaNeueLTStd-Th"/>
        </w:rPr>
        <w:t xml:space="preserve">dditionally, </w:t>
      </w:r>
      <w:r w:rsidR="00445C6F">
        <w:rPr>
          <w:rFonts w:cs="HelveticaNeueLTStd-Th"/>
        </w:rPr>
        <w:t>34% of females were diagnosed with PTSD and 29% were diagnosed with an eating disorder (Cox, Smith, et al, 2013, p. 18).</w:t>
      </w:r>
    </w:p>
    <w:p w:rsidR="00F82C6A" w:rsidRDefault="00F82C6A" w:rsidP="00E43645">
      <w:pPr>
        <w:autoSpaceDE w:val="0"/>
        <w:autoSpaceDN w:val="0"/>
        <w:adjustRightInd w:val="0"/>
        <w:spacing w:after="0" w:line="240" w:lineRule="auto"/>
        <w:rPr>
          <w:rFonts w:cs="HelveticaNeueLTStd-Th"/>
        </w:rPr>
      </w:pPr>
    </w:p>
    <w:p w:rsidR="0034559D" w:rsidRPr="00307269" w:rsidRDefault="0034559D" w:rsidP="00E43645">
      <w:pPr>
        <w:autoSpaceDE w:val="0"/>
        <w:autoSpaceDN w:val="0"/>
        <w:adjustRightInd w:val="0"/>
        <w:spacing w:after="0" w:line="240" w:lineRule="auto"/>
        <w:rPr>
          <w:rFonts w:cs="HelveticaNeueLTStd-Th"/>
          <w:b/>
        </w:rPr>
      </w:pPr>
      <w:r w:rsidRPr="00307269">
        <w:rPr>
          <w:rFonts w:cs="HelveticaNeueLTStd-Th"/>
          <w:b/>
        </w:rPr>
        <w:t>Prevalence of Substance Use in BC</w:t>
      </w:r>
    </w:p>
    <w:p w:rsidR="00D5297A" w:rsidRDefault="00307269" w:rsidP="00E43645">
      <w:pPr>
        <w:autoSpaceDE w:val="0"/>
        <w:autoSpaceDN w:val="0"/>
        <w:adjustRightInd w:val="0"/>
        <w:spacing w:after="0" w:line="240" w:lineRule="auto"/>
        <w:rPr>
          <w:rFonts w:cs="HelveticaNeueLTStd-Th"/>
        </w:rPr>
      </w:pPr>
      <w:r>
        <w:rPr>
          <w:rFonts w:cs="HelveticaNeueLTStd-Th"/>
        </w:rPr>
        <w:t>According to t</w:t>
      </w:r>
      <w:r w:rsidR="00AB0866">
        <w:rPr>
          <w:rFonts w:cs="HelveticaNeueLTStd-Th"/>
        </w:rPr>
        <w:t>he</w:t>
      </w:r>
      <w:r w:rsidR="00E223A3">
        <w:rPr>
          <w:rFonts w:cs="HelveticaNeueLTStd-Th"/>
        </w:rPr>
        <w:t xml:space="preserve"> 2013 </w:t>
      </w:r>
      <w:r w:rsidR="00E223A3">
        <w:rPr>
          <w:rFonts w:cs="HelveticaNeueLTStd-Th"/>
          <w:i/>
        </w:rPr>
        <w:t>Adolescent Health Survey</w:t>
      </w:r>
      <w:r w:rsidR="00F731AB">
        <w:rPr>
          <w:rFonts w:cs="HelveticaNeueLTStd-Th"/>
          <w:i/>
        </w:rPr>
        <w:t xml:space="preserve"> </w:t>
      </w:r>
      <w:r w:rsidR="000C4A77">
        <w:rPr>
          <w:rFonts w:cs="HelveticaNeueLTStd-Th"/>
        </w:rPr>
        <w:t>data</w:t>
      </w:r>
      <w:r w:rsidR="00B369BE">
        <w:rPr>
          <w:rFonts w:cs="HelveticaNeueLTStd-Th"/>
        </w:rPr>
        <w:t xml:space="preserve"> (based on a sample of approximately 30,000 youth</w:t>
      </w:r>
      <w:r>
        <w:rPr>
          <w:rFonts w:cs="HelveticaNeueLTStd-Th"/>
        </w:rPr>
        <w:t xml:space="preserve"> enrolled in mainstream, public schools</w:t>
      </w:r>
      <w:r w:rsidR="00B369BE">
        <w:rPr>
          <w:rFonts w:cs="HelveticaNeueLTStd-Th"/>
        </w:rPr>
        <w:t>)</w:t>
      </w:r>
      <w:r>
        <w:rPr>
          <w:rFonts w:cs="HelveticaNeueLTStd-Th"/>
        </w:rPr>
        <w:t>,</w:t>
      </w:r>
      <w:r w:rsidR="00084C65">
        <w:rPr>
          <w:rFonts w:cs="HelveticaNeueLTStd-Th"/>
        </w:rPr>
        <w:t xml:space="preserve"> the two substances most often used by youth are alcohol and marijuana (cannabis). Forty-five percent</w:t>
      </w:r>
      <w:r>
        <w:rPr>
          <w:rFonts w:cs="HelveticaNeueLTStd-Th"/>
        </w:rPr>
        <w:t xml:space="preserve"> of youth reported they had tried alcohol</w:t>
      </w:r>
      <w:r w:rsidR="00084C65">
        <w:rPr>
          <w:rFonts w:cs="HelveticaNeueLTStd-Th"/>
        </w:rPr>
        <w:t>. While</w:t>
      </w:r>
      <w:r>
        <w:rPr>
          <w:rFonts w:cs="HelveticaNeueLTStd-Th"/>
        </w:rPr>
        <w:t xml:space="preserve"> 65%</w:t>
      </w:r>
      <w:r w:rsidR="00084C65">
        <w:rPr>
          <w:rFonts w:cs="HelveticaNeueLTStd-Th"/>
        </w:rPr>
        <w:t xml:space="preserve"> of youth</w:t>
      </w:r>
      <w:r>
        <w:rPr>
          <w:rFonts w:cs="HelveticaNeueLTStd-Th"/>
        </w:rPr>
        <w:t xml:space="preserve"> first tried alcohol before they were 15 years of age (Smith, Stewart, et al, 2014), the most common age to first try alcohol was 14 years of age (24%)</w:t>
      </w:r>
      <w:r w:rsidR="00084C65">
        <w:rPr>
          <w:rFonts w:cs="HelveticaNeueLTStd-Th"/>
        </w:rPr>
        <w:t>. Only</w:t>
      </w:r>
      <w:r>
        <w:rPr>
          <w:rFonts w:cs="HelveticaNeueLTStd-Th"/>
        </w:rPr>
        <w:t xml:space="preserve"> five percent of youth </w:t>
      </w:r>
      <w:r w:rsidR="00084C65">
        <w:rPr>
          <w:rFonts w:cs="HelveticaNeueLTStd-Th"/>
        </w:rPr>
        <w:t xml:space="preserve">had </w:t>
      </w:r>
      <w:r>
        <w:rPr>
          <w:rFonts w:cs="HelveticaNeueLTStd-Th"/>
        </w:rPr>
        <w:t xml:space="preserve">tried alcohol when they were nine years of age or younger. Twenty-six percent of youth reported they had tried marijuana; the </w:t>
      </w:r>
      <w:r>
        <w:rPr>
          <w:rFonts w:cs="HelveticaNeueLTStd-Th"/>
        </w:rPr>
        <w:lastRenderedPageBreak/>
        <w:t xml:space="preserve">most common age for trying marijuana was </w:t>
      </w:r>
      <w:r w:rsidR="00D5297A">
        <w:rPr>
          <w:rFonts w:cs="HelveticaNeueLTStd-Th"/>
        </w:rPr>
        <w:t xml:space="preserve">also </w:t>
      </w:r>
      <w:r>
        <w:rPr>
          <w:rFonts w:cs="HelveticaNeueLTStd-Th"/>
        </w:rPr>
        <w:t>14 years of age (24%)</w:t>
      </w:r>
      <w:r w:rsidR="00D5297A">
        <w:rPr>
          <w:rFonts w:cs="HelveticaNeueLTStd-Th"/>
        </w:rPr>
        <w:t xml:space="preserve">. Only </w:t>
      </w:r>
      <w:r>
        <w:rPr>
          <w:rFonts w:cs="HelveticaNeueLTStd-Th"/>
        </w:rPr>
        <w:t xml:space="preserve">three percent of youth reported they were nine years of age or younger when they first tried </w:t>
      </w:r>
      <w:r w:rsidR="00D5297A">
        <w:rPr>
          <w:rFonts w:cs="HelveticaNeueLTStd-Th"/>
        </w:rPr>
        <w:t>marijuana</w:t>
      </w:r>
      <w:r>
        <w:rPr>
          <w:rFonts w:cs="HelveticaNeueLTStd-Th"/>
        </w:rPr>
        <w:t xml:space="preserve"> (Smith, Stewart, et al, 2014). </w:t>
      </w:r>
    </w:p>
    <w:p w:rsidR="00D5297A" w:rsidRDefault="00D5297A" w:rsidP="00E43645">
      <w:pPr>
        <w:autoSpaceDE w:val="0"/>
        <w:autoSpaceDN w:val="0"/>
        <w:adjustRightInd w:val="0"/>
        <w:spacing w:after="0" w:line="240" w:lineRule="auto"/>
        <w:rPr>
          <w:rFonts w:cs="HelveticaNeueLTStd-Th"/>
        </w:rPr>
      </w:pPr>
    </w:p>
    <w:p w:rsidR="00D5297A" w:rsidRDefault="000F3CF5" w:rsidP="00E43645">
      <w:pPr>
        <w:autoSpaceDE w:val="0"/>
        <w:autoSpaceDN w:val="0"/>
        <w:adjustRightInd w:val="0"/>
        <w:spacing w:after="0" w:line="240" w:lineRule="auto"/>
        <w:rPr>
          <w:rFonts w:cs="HelveticaNeueLTStd-Th"/>
        </w:rPr>
      </w:pPr>
      <w:r>
        <w:rPr>
          <w:rFonts w:cs="HelveticaNeueLTStd-Th"/>
        </w:rPr>
        <w:t>T</w:t>
      </w:r>
      <w:r w:rsidR="00D5297A">
        <w:rPr>
          <w:rFonts w:cs="HelveticaNeueLTStd-Th"/>
        </w:rPr>
        <w:t>he McCreary Centre Society also produce</w:t>
      </w:r>
      <w:r w:rsidR="00EA4F05">
        <w:rPr>
          <w:rFonts w:cs="HelveticaNeueLTStd-Th"/>
        </w:rPr>
        <w:t>d</w:t>
      </w:r>
      <w:r w:rsidR="00D5297A">
        <w:rPr>
          <w:rFonts w:cs="HelveticaNeueLTStd-Th"/>
        </w:rPr>
        <w:t xml:space="preserve"> a report called </w:t>
      </w:r>
      <w:r w:rsidR="00D5297A">
        <w:rPr>
          <w:rFonts w:cs="HelveticaNeueLTStd-Th"/>
          <w:i/>
        </w:rPr>
        <w:t>Raven’s Children</w:t>
      </w:r>
      <w:r w:rsidR="00EA4F05">
        <w:rPr>
          <w:rFonts w:cs="HelveticaNeueLTStd-Th"/>
          <w:i/>
        </w:rPr>
        <w:t xml:space="preserve"> IV: Aboriginal youth health in BC</w:t>
      </w:r>
      <w:r w:rsidR="00D5297A">
        <w:rPr>
          <w:rFonts w:cs="HelveticaNeueLTStd-Th"/>
        </w:rPr>
        <w:t xml:space="preserve"> </w:t>
      </w:r>
      <w:r w:rsidR="00EA4F05">
        <w:rPr>
          <w:rFonts w:cs="HelveticaNeueLTStd-Th"/>
        </w:rPr>
        <w:t>(</w:t>
      </w:r>
      <w:proofErr w:type="spellStart"/>
      <w:r w:rsidR="00EA4F05">
        <w:rPr>
          <w:rFonts w:cs="HelveticaNeueLTStd-Th"/>
        </w:rPr>
        <w:t>Tourand</w:t>
      </w:r>
      <w:proofErr w:type="spellEnd"/>
      <w:r w:rsidR="00EA4F05">
        <w:rPr>
          <w:rFonts w:cs="HelveticaNeueLTStd-Th"/>
        </w:rPr>
        <w:t xml:space="preserve">, Smith, et al, 2016) </w:t>
      </w:r>
      <w:r w:rsidR="00D5297A">
        <w:rPr>
          <w:rFonts w:cs="HelveticaNeueLTStd-Th"/>
        </w:rPr>
        <w:t xml:space="preserve">that focuses specifically on </w:t>
      </w:r>
      <w:r w:rsidR="00EA4F05">
        <w:rPr>
          <w:rFonts w:cs="HelveticaNeueLTStd-Th"/>
        </w:rPr>
        <w:t>health indicators and</w:t>
      </w:r>
      <w:r w:rsidR="00D5297A">
        <w:rPr>
          <w:rFonts w:cs="HelveticaNeueLTStd-Th"/>
        </w:rPr>
        <w:t xml:space="preserve"> substance use among Aboriginal youth</w:t>
      </w:r>
      <w:r w:rsidR="00EA4F05">
        <w:rPr>
          <w:rFonts w:cs="HelveticaNeueLTStd-Th"/>
        </w:rPr>
        <w:t xml:space="preserve"> who participated in the </w:t>
      </w:r>
      <w:r w:rsidR="00EA4F05" w:rsidRPr="00EA4F05">
        <w:rPr>
          <w:rFonts w:cs="HelveticaNeueLTStd-Th"/>
          <w:i/>
        </w:rPr>
        <w:t>BC AHS</w:t>
      </w:r>
      <w:r>
        <w:rPr>
          <w:rFonts w:cs="HelveticaNeueLTStd-Th"/>
        </w:rPr>
        <w:t xml:space="preserve"> (n = approximately 3,000, or 10% of the total survey sample</w:t>
      </w:r>
      <w:r>
        <w:rPr>
          <w:rStyle w:val="FootnoteReference"/>
          <w:rFonts w:cs="HelveticaNeueLTStd-Th"/>
        </w:rPr>
        <w:footnoteReference w:id="7"/>
      </w:r>
      <w:r>
        <w:rPr>
          <w:rFonts w:cs="HelveticaNeueLTStd-Th"/>
        </w:rPr>
        <w:t xml:space="preserve">). </w:t>
      </w:r>
    </w:p>
    <w:p w:rsidR="000F3CF5" w:rsidRDefault="000F3CF5" w:rsidP="00E43645">
      <w:pPr>
        <w:autoSpaceDE w:val="0"/>
        <w:autoSpaceDN w:val="0"/>
        <w:adjustRightInd w:val="0"/>
        <w:spacing w:after="0" w:line="240" w:lineRule="auto"/>
        <w:rPr>
          <w:rFonts w:cs="HelveticaNeueLTStd-Th"/>
        </w:rPr>
      </w:pPr>
    </w:p>
    <w:p w:rsidR="00EA4F05" w:rsidRDefault="00C4335E" w:rsidP="00E43645">
      <w:pPr>
        <w:autoSpaceDE w:val="0"/>
        <w:autoSpaceDN w:val="0"/>
        <w:adjustRightInd w:val="0"/>
        <w:spacing w:after="0" w:line="240" w:lineRule="auto"/>
        <w:rPr>
          <w:rFonts w:cs="HelveticaNeueLTStd-Th"/>
        </w:rPr>
      </w:pPr>
      <w:r>
        <w:rPr>
          <w:rFonts w:cs="HelveticaNeueLTStd-Th"/>
        </w:rPr>
        <w:t xml:space="preserve">Among Aboriginal youth, 56% reported they had tried alcohol and approximately 75% </w:t>
      </w:r>
      <w:r w:rsidR="0065495D">
        <w:rPr>
          <w:rFonts w:cs="HelveticaNeueLTStd-Th"/>
        </w:rPr>
        <w:t xml:space="preserve">stated they </w:t>
      </w:r>
      <w:r>
        <w:rPr>
          <w:rFonts w:cs="HelveticaNeueLTStd-Th"/>
        </w:rPr>
        <w:t>first tried alcohol when they were less than 15 years of age</w:t>
      </w:r>
      <w:r w:rsidR="0065495D">
        <w:rPr>
          <w:rFonts w:cs="HelveticaNeueLTStd-Th"/>
        </w:rPr>
        <w:t>.</w:t>
      </w:r>
      <w:r>
        <w:rPr>
          <w:rFonts w:cs="HelveticaNeueLTStd-Th"/>
        </w:rPr>
        <w:t xml:space="preserve"> </w:t>
      </w:r>
      <w:r w:rsidR="0065495D">
        <w:rPr>
          <w:rFonts w:cs="HelveticaNeueLTStd-Th"/>
        </w:rPr>
        <w:t>Eight percent of Aboriginal youth</w:t>
      </w:r>
      <w:r>
        <w:rPr>
          <w:rFonts w:cs="HelveticaNeueLTStd-Th"/>
        </w:rPr>
        <w:t xml:space="preserve"> reported they were nine years of age or younger when they first tried alcohol (</w:t>
      </w:r>
      <w:proofErr w:type="spellStart"/>
      <w:r>
        <w:rPr>
          <w:rFonts w:cs="HelveticaNeueLTStd-Th"/>
        </w:rPr>
        <w:t>Tourand</w:t>
      </w:r>
      <w:proofErr w:type="spellEnd"/>
      <w:r>
        <w:rPr>
          <w:rFonts w:cs="HelveticaNeueLTStd-Th"/>
        </w:rPr>
        <w:t xml:space="preserve">, Smith, </w:t>
      </w:r>
      <w:r w:rsidR="0065495D">
        <w:rPr>
          <w:rFonts w:cs="HelveticaNeueLTStd-Th"/>
        </w:rPr>
        <w:t>et al</w:t>
      </w:r>
      <w:r>
        <w:rPr>
          <w:rFonts w:cs="HelveticaNeueLTStd-Th"/>
        </w:rPr>
        <w:t>, 2016). Forty-one percent of Aboriginal youth reported they had tried marijuana</w:t>
      </w:r>
      <w:r w:rsidR="0065495D">
        <w:rPr>
          <w:rFonts w:cs="HelveticaNeueLTStd-Th"/>
        </w:rPr>
        <w:t>.</w:t>
      </w:r>
      <w:r>
        <w:rPr>
          <w:rFonts w:cs="HelveticaNeueLTStd-Th"/>
        </w:rPr>
        <w:t xml:space="preserve"> </w:t>
      </w:r>
      <w:r w:rsidR="0065495D">
        <w:rPr>
          <w:rFonts w:cs="HelveticaNeueLTStd-Th"/>
        </w:rPr>
        <w:t xml:space="preserve">Among those who had tried marijuana, </w:t>
      </w:r>
      <w:r>
        <w:rPr>
          <w:rFonts w:cs="HelveticaNeueLTStd-Th"/>
        </w:rPr>
        <w:t xml:space="preserve">75% were less than 15 years old when they first tried marijuana and </w:t>
      </w:r>
      <w:r w:rsidR="0065495D">
        <w:rPr>
          <w:rFonts w:cs="HelveticaNeueLTStd-Th"/>
        </w:rPr>
        <w:t>five percent</w:t>
      </w:r>
      <w:r>
        <w:rPr>
          <w:rFonts w:cs="HelveticaNeueLTStd-Th"/>
        </w:rPr>
        <w:t xml:space="preserve"> were nine years old or younger when they first tried it (</w:t>
      </w:r>
      <w:proofErr w:type="spellStart"/>
      <w:r>
        <w:rPr>
          <w:rFonts w:cs="HelveticaNeueLTStd-Th"/>
        </w:rPr>
        <w:t>Tourand</w:t>
      </w:r>
      <w:proofErr w:type="spellEnd"/>
      <w:r>
        <w:rPr>
          <w:rFonts w:cs="HelveticaNeueLTStd-Th"/>
        </w:rPr>
        <w:t>, Smith, et al, 2016).</w:t>
      </w:r>
      <w:r w:rsidR="002D4F01">
        <w:rPr>
          <w:rFonts w:cs="HelveticaNeueLTStd-Th"/>
        </w:rPr>
        <w:t xml:space="preserve"> </w:t>
      </w:r>
    </w:p>
    <w:p w:rsidR="00EA4F05" w:rsidRDefault="00EA4F05" w:rsidP="00E43645">
      <w:pPr>
        <w:autoSpaceDE w:val="0"/>
        <w:autoSpaceDN w:val="0"/>
        <w:adjustRightInd w:val="0"/>
        <w:spacing w:after="0" w:line="240" w:lineRule="auto"/>
        <w:rPr>
          <w:rFonts w:cs="HelveticaNeueLTStd-Th"/>
        </w:rPr>
      </w:pPr>
    </w:p>
    <w:p w:rsidR="0065495D" w:rsidRDefault="0065495D" w:rsidP="00E43645">
      <w:pPr>
        <w:autoSpaceDE w:val="0"/>
        <w:autoSpaceDN w:val="0"/>
        <w:adjustRightInd w:val="0"/>
        <w:spacing w:after="0" w:line="240" w:lineRule="auto"/>
        <w:rPr>
          <w:rFonts w:cs="HelveticaNeueLTStd-Th"/>
        </w:rPr>
      </w:pPr>
      <w:r>
        <w:rPr>
          <w:rFonts w:cs="HelveticaNeueLTStd-Th"/>
        </w:rPr>
        <w:t xml:space="preserve">Among the three cohorts of at-risk youth, </w:t>
      </w:r>
      <w:r w:rsidR="00D225F8">
        <w:rPr>
          <w:rFonts w:cs="HelveticaNeueLTStd-Th"/>
        </w:rPr>
        <w:t>between 83% and 97% reported they had tried alcohol, with 73% of youth in custody and 29% of homeless/street-involved youth first trying alcohol when they were12 years of age or younger. Between 85% and 95%</w:t>
      </w:r>
      <w:r w:rsidR="00467504">
        <w:rPr>
          <w:rFonts w:cs="HelveticaNeueLTStd-Th"/>
        </w:rPr>
        <w:t xml:space="preserve"> of the at-risk youth had tried marijuana, with 34% of homeless/street-involved youth and 45% of youth in custody reporting they</w:t>
      </w:r>
      <w:r w:rsidR="004C5F82">
        <w:rPr>
          <w:rFonts w:cs="HelveticaNeueLTStd-Th"/>
        </w:rPr>
        <w:t xml:space="preserve"> </w:t>
      </w:r>
      <w:r w:rsidR="007E352F">
        <w:rPr>
          <w:rFonts w:cs="HelveticaNeueLTStd-Th"/>
        </w:rPr>
        <w:t xml:space="preserve">were </w:t>
      </w:r>
      <w:r w:rsidR="004C5F82">
        <w:rPr>
          <w:rFonts w:cs="HelveticaNeueLTStd-Th"/>
        </w:rPr>
        <w:t>no older than 12 years old the first time they tried marijuana. (See Table 2a, below)</w:t>
      </w:r>
    </w:p>
    <w:p w:rsidR="002F3971" w:rsidRDefault="002F3971" w:rsidP="00E43645">
      <w:pPr>
        <w:autoSpaceDE w:val="0"/>
        <w:autoSpaceDN w:val="0"/>
        <w:adjustRightInd w:val="0"/>
        <w:spacing w:after="0" w:line="240" w:lineRule="auto"/>
        <w:rPr>
          <w:rFonts w:cs="HelveticaNeueLTStd-Th"/>
        </w:rPr>
      </w:pPr>
    </w:p>
    <w:p w:rsidR="00D225F8" w:rsidRDefault="00D225F8" w:rsidP="00E43645">
      <w:pPr>
        <w:autoSpaceDE w:val="0"/>
        <w:autoSpaceDN w:val="0"/>
        <w:adjustRightInd w:val="0"/>
        <w:spacing w:after="0" w:line="240" w:lineRule="auto"/>
        <w:rPr>
          <w:rFonts w:cs="HelveticaNeueLTStd-Th"/>
        </w:rPr>
      </w:pPr>
      <w:r w:rsidRPr="00D225F8">
        <w:rPr>
          <w:noProof/>
          <w:lang w:val="en-US"/>
        </w:rPr>
        <w:drawing>
          <wp:inline distT="0" distB="0" distL="0" distR="0">
            <wp:extent cx="5535930" cy="3658405"/>
            <wp:effectExtent l="1905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540885" cy="3661680"/>
                    </a:xfrm>
                    <a:prstGeom prst="rect">
                      <a:avLst/>
                    </a:prstGeom>
                    <a:noFill/>
                    <a:ln w="9525">
                      <a:noFill/>
                      <a:miter lim="800000"/>
                      <a:headEnd/>
                      <a:tailEnd/>
                    </a:ln>
                  </pic:spPr>
                </pic:pic>
              </a:graphicData>
            </a:graphic>
          </wp:inline>
        </w:drawing>
      </w:r>
    </w:p>
    <w:p w:rsidR="0065495D" w:rsidRDefault="0065495D" w:rsidP="00E43645">
      <w:pPr>
        <w:autoSpaceDE w:val="0"/>
        <w:autoSpaceDN w:val="0"/>
        <w:adjustRightInd w:val="0"/>
        <w:spacing w:after="0" w:line="240" w:lineRule="auto"/>
        <w:rPr>
          <w:rFonts w:cs="HelveticaNeueLTStd-Th"/>
        </w:rPr>
      </w:pPr>
    </w:p>
    <w:p w:rsidR="002D4F01" w:rsidRDefault="00307269" w:rsidP="00E43645">
      <w:pPr>
        <w:autoSpaceDE w:val="0"/>
        <w:autoSpaceDN w:val="0"/>
        <w:adjustRightInd w:val="0"/>
        <w:spacing w:after="0" w:line="240" w:lineRule="auto"/>
        <w:rPr>
          <w:rFonts w:cs="HelveticaNeueLTStd-Th"/>
        </w:rPr>
      </w:pPr>
      <w:r>
        <w:rPr>
          <w:rFonts w:cs="HelveticaNeueLTStd-Th"/>
        </w:rPr>
        <w:lastRenderedPageBreak/>
        <w:t xml:space="preserve">Seventeen percent of </w:t>
      </w:r>
      <w:r w:rsidR="004C5F82">
        <w:rPr>
          <w:rFonts w:cs="HelveticaNeueLTStd-Th"/>
        </w:rPr>
        <w:t xml:space="preserve">non-Aboriginal </w:t>
      </w:r>
      <w:r>
        <w:rPr>
          <w:rFonts w:cs="HelveticaNeueLTStd-Th"/>
        </w:rPr>
        <w:t>youth</w:t>
      </w:r>
      <w:r w:rsidR="00EA4193">
        <w:rPr>
          <w:rFonts w:cs="HelveticaNeueLTStd-Th"/>
        </w:rPr>
        <w:t xml:space="preserve"> and 25% of Aboriginal youth who regularly go to school</w:t>
      </w:r>
      <w:r>
        <w:rPr>
          <w:rFonts w:cs="HelveticaNeueLTStd-Th"/>
        </w:rPr>
        <w:t xml:space="preserve"> reported trying a substance other than alcohol and marijuana: </w:t>
      </w:r>
      <w:r w:rsidR="00EA4193">
        <w:rPr>
          <w:rFonts w:cs="HelveticaNeueLTStd-Th"/>
        </w:rPr>
        <w:t>These youth were most likely to use prescription pills without a doctor’s consent,</w:t>
      </w:r>
      <w:r>
        <w:rPr>
          <w:rFonts w:cs="HelveticaNeueLTStd-Th"/>
        </w:rPr>
        <w:t xml:space="preserve"> hallucinogens, and mushrooms</w:t>
      </w:r>
      <w:r w:rsidR="00EA4193">
        <w:rPr>
          <w:rFonts w:cs="HelveticaNeueLTStd-Th"/>
        </w:rPr>
        <w:t>, and least likely to try cocaine, heroin, or amphetamines</w:t>
      </w:r>
      <w:r>
        <w:rPr>
          <w:rFonts w:cs="HelveticaNeueLTStd-Th"/>
        </w:rPr>
        <w:t xml:space="preserve"> (Smith, Stewart, et al, 2014</w:t>
      </w:r>
      <w:r w:rsidR="00EA4193">
        <w:rPr>
          <w:rFonts w:cs="HelveticaNeueLTStd-Th"/>
        </w:rPr>
        <w:t xml:space="preserve">; </w:t>
      </w:r>
      <w:proofErr w:type="spellStart"/>
      <w:r w:rsidR="00EA4193">
        <w:rPr>
          <w:rFonts w:cs="HelveticaNeueLTStd-Th"/>
        </w:rPr>
        <w:t>Tourand</w:t>
      </w:r>
      <w:proofErr w:type="spellEnd"/>
      <w:r w:rsidR="00EA4193">
        <w:rPr>
          <w:rFonts w:cs="HelveticaNeueLTStd-Th"/>
        </w:rPr>
        <w:t>, Smith, et al, 2016</w:t>
      </w:r>
      <w:r>
        <w:rPr>
          <w:rFonts w:cs="HelveticaNeueLTStd-Th"/>
        </w:rPr>
        <w:t xml:space="preserve">). </w:t>
      </w:r>
      <w:r w:rsidR="002D4F01">
        <w:rPr>
          <w:rFonts w:cs="HelveticaNeueLTStd-Th"/>
        </w:rPr>
        <w:t>See Table 2b, below, for details.</w:t>
      </w:r>
    </w:p>
    <w:p w:rsidR="002D4F01" w:rsidRDefault="002D4F01" w:rsidP="00E43645">
      <w:pPr>
        <w:autoSpaceDE w:val="0"/>
        <w:autoSpaceDN w:val="0"/>
        <w:adjustRightInd w:val="0"/>
        <w:spacing w:after="0" w:line="240" w:lineRule="auto"/>
        <w:rPr>
          <w:rFonts w:cs="HelveticaNeueLTStd-Th"/>
        </w:rPr>
      </w:pPr>
    </w:p>
    <w:p w:rsidR="00307269" w:rsidRDefault="002D4F01" w:rsidP="00E43645">
      <w:pPr>
        <w:autoSpaceDE w:val="0"/>
        <w:autoSpaceDN w:val="0"/>
        <w:adjustRightInd w:val="0"/>
        <w:spacing w:after="0" w:line="240" w:lineRule="auto"/>
        <w:rPr>
          <w:rFonts w:cs="HelveticaNeueLTStd-Th"/>
        </w:rPr>
      </w:pPr>
      <w:r>
        <w:rPr>
          <w:rFonts w:cs="HelveticaNeueLTStd-Th"/>
        </w:rPr>
        <w:t>By comparison 80% of homeless/street-involved youth, 88% of youth in custody, and 90% of youth struggling with concurrent mental health issues or substance use disorders had tried substances other than alcohol and marijuana (Smith, Cox, et al, 2013; Smith, Stewart, et al, 2015; Cox, Smith, et al, 20</w:t>
      </w:r>
      <w:r w:rsidR="00D05DF4">
        <w:rPr>
          <w:rFonts w:cs="HelveticaNeueLTStd-Th"/>
        </w:rPr>
        <w:t>13). These groups of youth were more likely to use a variety of substances—including cocaine, hallucinogens, prescription pills, and heroin—and were</w:t>
      </w:r>
      <w:r w:rsidR="00A72E31">
        <w:rPr>
          <w:rFonts w:cs="HelveticaNeueLTStd-Th"/>
        </w:rPr>
        <w:t xml:space="preserve"> much more likely to inject substances (Smith, Cox, et al, 2013; Smith, Stewart, et al, 2015; Cox, Smith, et al, 2013). See Table 2b, below:</w:t>
      </w:r>
    </w:p>
    <w:p w:rsidR="00D05DF4" w:rsidRDefault="00D05DF4" w:rsidP="00E43645">
      <w:pPr>
        <w:autoSpaceDE w:val="0"/>
        <w:autoSpaceDN w:val="0"/>
        <w:adjustRightInd w:val="0"/>
        <w:spacing w:after="0" w:line="240" w:lineRule="auto"/>
        <w:rPr>
          <w:rFonts w:cs="HelveticaNeueLTStd-Th"/>
        </w:rPr>
      </w:pPr>
    </w:p>
    <w:p w:rsidR="00AE686E" w:rsidRDefault="00EA4193" w:rsidP="00E43645">
      <w:pPr>
        <w:autoSpaceDE w:val="0"/>
        <w:autoSpaceDN w:val="0"/>
        <w:adjustRightInd w:val="0"/>
        <w:spacing w:after="0" w:line="240" w:lineRule="auto"/>
        <w:rPr>
          <w:rFonts w:cs="HelveticaNeueLTStd-Th"/>
        </w:rPr>
      </w:pPr>
      <w:r w:rsidRPr="00EA4193">
        <w:rPr>
          <w:noProof/>
          <w:lang w:val="en-US"/>
        </w:rPr>
        <w:drawing>
          <wp:inline distT="0" distB="0" distL="0" distR="0">
            <wp:extent cx="5943600" cy="3969495"/>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43600" cy="3969495"/>
                    </a:xfrm>
                    <a:prstGeom prst="rect">
                      <a:avLst/>
                    </a:prstGeom>
                    <a:noFill/>
                    <a:ln w="9525">
                      <a:noFill/>
                      <a:miter lim="800000"/>
                      <a:headEnd/>
                      <a:tailEnd/>
                    </a:ln>
                  </pic:spPr>
                </pic:pic>
              </a:graphicData>
            </a:graphic>
          </wp:inline>
        </w:drawing>
      </w:r>
    </w:p>
    <w:p w:rsidR="00AE686E" w:rsidRDefault="00AE686E" w:rsidP="00E43645">
      <w:pPr>
        <w:autoSpaceDE w:val="0"/>
        <w:autoSpaceDN w:val="0"/>
        <w:adjustRightInd w:val="0"/>
        <w:spacing w:after="0" w:line="240" w:lineRule="auto"/>
        <w:rPr>
          <w:rFonts w:cs="HelveticaNeueLTStd-Th"/>
        </w:rPr>
      </w:pPr>
    </w:p>
    <w:p w:rsidR="00044FDA" w:rsidRDefault="00077A7C" w:rsidP="00E43645">
      <w:pPr>
        <w:autoSpaceDE w:val="0"/>
        <w:autoSpaceDN w:val="0"/>
        <w:adjustRightInd w:val="0"/>
        <w:spacing w:after="0" w:line="240" w:lineRule="auto"/>
        <w:rPr>
          <w:rFonts w:cs="HelveticaNeueLTStd-Th"/>
        </w:rPr>
      </w:pPr>
      <w:r>
        <w:rPr>
          <w:rFonts w:cs="HelveticaNeueLTStd-Th"/>
        </w:rPr>
        <w:t xml:space="preserve">The </w:t>
      </w:r>
      <w:r w:rsidRPr="00A72E31">
        <w:rPr>
          <w:rFonts w:cs="HelveticaNeueLTStd-Th"/>
          <w:i/>
        </w:rPr>
        <w:t>BC AHS</w:t>
      </w:r>
      <w:r>
        <w:rPr>
          <w:rFonts w:cs="HelveticaNeueLTStd-Th"/>
        </w:rPr>
        <w:t xml:space="preserve"> asks youth to list their reasons for using substances. In 2013, more than 60% of youth</w:t>
      </w:r>
      <w:r w:rsidR="00A72E31">
        <w:rPr>
          <w:rFonts w:cs="HelveticaNeueLTStd-Th"/>
        </w:rPr>
        <w:t xml:space="preserve"> (both those who attend mainstream schools and at-risk youth</w:t>
      </w:r>
      <w:r>
        <w:rPr>
          <w:rFonts w:cs="HelveticaNeueLTStd-Th"/>
        </w:rPr>
        <w:t xml:space="preserve"> </w:t>
      </w:r>
      <w:r w:rsidR="00A72E31">
        <w:rPr>
          <w:rFonts w:cs="HelveticaNeueLTStd-Th"/>
        </w:rPr>
        <w:t xml:space="preserve">who are street- or justice-involved) </w:t>
      </w:r>
      <w:r>
        <w:rPr>
          <w:rFonts w:cs="HelveticaNeueLTStd-Th"/>
        </w:rPr>
        <w:t xml:space="preserve">reported they wanted to have fun; </w:t>
      </w:r>
      <w:r w:rsidR="005D1BA6">
        <w:rPr>
          <w:rFonts w:cs="HelveticaNeueLTStd-Th"/>
        </w:rPr>
        <w:t>almost one-third (31% of Aboriginal youth and 33% of non-Aboriginal youth) indicated they used substances because their friends were doing it, and</w:t>
      </w:r>
      <w:r w:rsidR="00A66903">
        <w:rPr>
          <w:rFonts w:cs="HelveticaNeueLTStd-Th"/>
        </w:rPr>
        <w:t xml:space="preserve"> just under 30% of youth (</w:t>
      </w:r>
      <w:r w:rsidR="005D1BA6">
        <w:rPr>
          <w:rFonts w:cs="HelveticaNeueLTStd-Th"/>
        </w:rPr>
        <w:t>28%</w:t>
      </w:r>
      <w:r w:rsidR="00A66903">
        <w:rPr>
          <w:rFonts w:cs="HelveticaNeueLTStd-Th"/>
        </w:rPr>
        <w:t xml:space="preserve"> non-Aboriginal, </w:t>
      </w:r>
      <w:r w:rsidR="005D1BA6">
        <w:rPr>
          <w:rFonts w:cs="HelveticaNeueLTStd-Th"/>
        </w:rPr>
        <w:t>29% Aboriginal</w:t>
      </w:r>
      <w:r w:rsidR="00A66903">
        <w:rPr>
          <w:rFonts w:cs="HelveticaNeueLTStd-Th"/>
        </w:rPr>
        <w:t>) indi</w:t>
      </w:r>
      <w:r w:rsidR="005D1BA6">
        <w:rPr>
          <w:rFonts w:cs="HelveticaNeueLTStd-Th"/>
        </w:rPr>
        <w:t xml:space="preserve">cated they wanted to experiment (Smith, </w:t>
      </w:r>
      <w:r w:rsidR="0075659D">
        <w:rPr>
          <w:rFonts w:cs="HelveticaNeueLTStd-Th"/>
        </w:rPr>
        <w:t>Stewart</w:t>
      </w:r>
      <w:r w:rsidR="005D1BA6">
        <w:rPr>
          <w:rFonts w:cs="HelveticaNeueLTStd-Th"/>
        </w:rPr>
        <w:t xml:space="preserve">, et al, 2014; </w:t>
      </w:r>
      <w:proofErr w:type="spellStart"/>
      <w:r w:rsidR="005D1BA6">
        <w:rPr>
          <w:rFonts w:cs="HelveticaNeueLTStd-Th"/>
        </w:rPr>
        <w:t>Tourand</w:t>
      </w:r>
      <w:proofErr w:type="spellEnd"/>
      <w:r w:rsidR="005D1BA6">
        <w:rPr>
          <w:rFonts w:cs="HelveticaNeueLTStd-Th"/>
        </w:rPr>
        <w:t xml:space="preserve">, Smith, et al, 2016). </w:t>
      </w:r>
      <w:r w:rsidR="002561C8">
        <w:rPr>
          <w:rFonts w:cs="HelveticaNeueLTStd-Th"/>
        </w:rPr>
        <w:t>Only a small percentage of youth (4% of Aboriginal youth and 2% of non-Aboriginal youth)</w:t>
      </w:r>
      <w:r w:rsidR="00A72E31">
        <w:rPr>
          <w:rFonts w:cs="HelveticaNeueLTStd-Th"/>
        </w:rPr>
        <w:t xml:space="preserve"> who attend regular school</w:t>
      </w:r>
      <w:r w:rsidR="003F10C8">
        <w:rPr>
          <w:rFonts w:cs="HelveticaNeueLTStd-Th"/>
        </w:rPr>
        <w:t xml:space="preserve"> </w:t>
      </w:r>
      <w:r w:rsidR="002561C8">
        <w:rPr>
          <w:rFonts w:cs="HelveticaNeueLTStd-Th"/>
        </w:rPr>
        <w:t xml:space="preserve">reported they used substances because they had an </w:t>
      </w:r>
      <w:r w:rsidR="002561C8">
        <w:rPr>
          <w:rFonts w:cs="HelveticaNeueLTStd-Th"/>
        </w:rPr>
        <w:lastRenderedPageBreak/>
        <w:t>addiction (Smith</w:t>
      </w:r>
      <w:r w:rsidR="00DE3471">
        <w:rPr>
          <w:rFonts w:cs="HelveticaNeueLTStd-Th"/>
        </w:rPr>
        <w:t>,</w:t>
      </w:r>
      <w:r w:rsidR="002561C8">
        <w:rPr>
          <w:rFonts w:cs="HelveticaNeueLTStd-Th"/>
        </w:rPr>
        <w:t xml:space="preserve"> </w:t>
      </w:r>
      <w:r w:rsidR="00912C25">
        <w:rPr>
          <w:rFonts w:cs="HelveticaNeueLTStd-Th"/>
        </w:rPr>
        <w:t>Stewart</w:t>
      </w:r>
      <w:r w:rsidR="002561C8">
        <w:rPr>
          <w:rFonts w:cs="HelveticaNeueLTStd-Th"/>
        </w:rPr>
        <w:t>,</w:t>
      </w:r>
      <w:r w:rsidR="00DE3471">
        <w:rPr>
          <w:rFonts w:cs="HelveticaNeueLTStd-Th"/>
        </w:rPr>
        <w:t xml:space="preserve"> et al,</w:t>
      </w:r>
      <w:r w:rsidR="002561C8">
        <w:rPr>
          <w:rFonts w:cs="HelveticaNeueLTStd-Th"/>
        </w:rPr>
        <w:t xml:space="preserve"> 2014; </w:t>
      </w:r>
      <w:proofErr w:type="spellStart"/>
      <w:r w:rsidR="002561C8">
        <w:rPr>
          <w:rFonts w:cs="HelveticaNeueLTStd-Th"/>
        </w:rPr>
        <w:t>Tourand</w:t>
      </w:r>
      <w:proofErr w:type="spellEnd"/>
      <w:r w:rsidR="00DE3471">
        <w:rPr>
          <w:rFonts w:cs="HelveticaNeueLTStd-Th"/>
        </w:rPr>
        <w:t>,</w:t>
      </w:r>
      <w:r w:rsidR="002561C8">
        <w:rPr>
          <w:rFonts w:cs="HelveticaNeueLTStd-Th"/>
        </w:rPr>
        <w:t xml:space="preserve"> Smith,</w:t>
      </w:r>
      <w:r w:rsidR="00DE3471">
        <w:rPr>
          <w:rFonts w:cs="HelveticaNeueLTStd-Th"/>
        </w:rPr>
        <w:t xml:space="preserve"> et al,</w:t>
      </w:r>
      <w:r w:rsidR="002561C8">
        <w:rPr>
          <w:rFonts w:cs="HelveticaNeueLTStd-Th"/>
        </w:rPr>
        <w:t xml:space="preserve"> 2016)</w:t>
      </w:r>
      <w:r w:rsidR="00FD7073">
        <w:rPr>
          <w:rStyle w:val="FootnoteReference"/>
          <w:rFonts w:cs="HelveticaNeueLTStd-Th"/>
        </w:rPr>
        <w:footnoteReference w:id="8"/>
      </w:r>
      <w:r w:rsidR="00551289">
        <w:rPr>
          <w:rFonts w:cs="HelveticaNeueLTStd-Th"/>
        </w:rPr>
        <w:t>, where as 19% of homeless/street-involved youth reported having an addiction as a reason for using substances (Smith, Stewart, et al, 2015)</w:t>
      </w:r>
      <w:r w:rsidR="00DE3471">
        <w:rPr>
          <w:rFonts w:cs="HelveticaNeueLTStd-Th"/>
        </w:rPr>
        <w:t>.</w:t>
      </w:r>
      <w:r w:rsidR="00FD7073">
        <w:rPr>
          <w:rFonts w:cs="HelveticaNeueLTStd-Th"/>
        </w:rPr>
        <w:t xml:space="preserve"> While less than five percent of youth</w:t>
      </w:r>
      <w:r w:rsidR="00551289">
        <w:rPr>
          <w:rFonts w:cs="HelveticaNeueLTStd-Th"/>
        </w:rPr>
        <w:t xml:space="preserve"> who responded to the 2013 BC AHS</w:t>
      </w:r>
      <w:r w:rsidR="00FD7073">
        <w:rPr>
          <w:rFonts w:cs="HelveticaNeueLTStd-Th"/>
        </w:rPr>
        <w:t xml:space="preserve"> reported using substances because they had an addiction, more than</w:t>
      </w:r>
      <w:r w:rsidR="00551289">
        <w:rPr>
          <w:rFonts w:cs="HelveticaNeueLTStd-Th"/>
        </w:rPr>
        <w:t xml:space="preserve"> </w:t>
      </w:r>
      <w:r w:rsidR="00FD7073">
        <w:rPr>
          <w:rFonts w:cs="HelveticaNeueLTStd-Th"/>
        </w:rPr>
        <w:t>20% of non-Aboriginal females used substances to manage stress (25%) or sad feelings (21%)</w:t>
      </w:r>
      <w:r w:rsidR="00583DC4">
        <w:rPr>
          <w:rFonts w:cs="HelveticaNeueLTStd-Th"/>
        </w:rPr>
        <w:t xml:space="preserve">; among Aboriginal females, 34% reported using substances to manage stress, and 27% reported using substances to deal with sad feelings (Smith, </w:t>
      </w:r>
      <w:r w:rsidR="00570007">
        <w:rPr>
          <w:rFonts w:cs="HelveticaNeueLTStd-Th"/>
        </w:rPr>
        <w:t>Stewart</w:t>
      </w:r>
      <w:r w:rsidR="00583DC4">
        <w:rPr>
          <w:rFonts w:cs="HelveticaNeueLTStd-Th"/>
        </w:rPr>
        <w:t xml:space="preserve">, et al, 2014; </w:t>
      </w:r>
      <w:proofErr w:type="spellStart"/>
      <w:r w:rsidR="00583DC4">
        <w:rPr>
          <w:rFonts w:cs="HelveticaNeueLTStd-Th"/>
        </w:rPr>
        <w:t>Tourand</w:t>
      </w:r>
      <w:proofErr w:type="spellEnd"/>
      <w:r w:rsidR="00583DC4">
        <w:rPr>
          <w:rFonts w:cs="HelveticaNeueLTStd-Th"/>
        </w:rPr>
        <w:t>, Smith, et al, 2016</w:t>
      </w:r>
      <w:r w:rsidR="00B55143">
        <w:rPr>
          <w:rFonts w:cs="HelveticaNeueLTStd-Th"/>
        </w:rPr>
        <w:t>)</w:t>
      </w:r>
      <w:r w:rsidR="00583DC4">
        <w:rPr>
          <w:rFonts w:cs="HelveticaNeueLTStd-Th"/>
        </w:rPr>
        <w:t>.</w:t>
      </w:r>
      <w:r w:rsidR="00570007">
        <w:rPr>
          <w:rFonts w:cs="HelveticaNeueLTStd-Th"/>
        </w:rPr>
        <w:t xml:space="preserve"> Among homeless youth, 57% of females reported using substances to manage stress, and 47% used substances to manage sad feelings (Smith, Stewart, et al, </w:t>
      </w:r>
      <w:r w:rsidR="00036086">
        <w:rPr>
          <w:rFonts w:cs="HelveticaNeueLTStd-Th"/>
        </w:rPr>
        <w:t>2015). See Table 3, below, for additional reasons.</w:t>
      </w:r>
    </w:p>
    <w:p w:rsidR="00570007" w:rsidRDefault="00570007" w:rsidP="00E43645">
      <w:pPr>
        <w:autoSpaceDE w:val="0"/>
        <w:autoSpaceDN w:val="0"/>
        <w:adjustRightInd w:val="0"/>
        <w:spacing w:after="0" w:line="240" w:lineRule="auto"/>
        <w:rPr>
          <w:rFonts w:cs="HelveticaNeueLTStd-Th"/>
        </w:rPr>
      </w:pPr>
    </w:p>
    <w:p w:rsidR="00570007" w:rsidRDefault="00570007" w:rsidP="002F3971">
      <w:pPr>
        <w:autoSpaceDE w:val="0"/>
        <w:autoSpaceDN w:val="0"/>
        <w:adjustRightInd w:val="0"/>
        <w:spacing w:after="0" w:line="240" w:lineRule="auto"/>
        <w:rPr>
          <w:rFonts w:cs="HelveticaNeueLTStd-Th"/>
        </w:rPr>
      </w:pPr>
      <w:r w:rsidRPr="00570007">
        <w:rPr>
          <w:noProof/>
          <w:lang w:val="en-US"/>
        </w:rPr>
        <w:drawing>
          <wp:inline distT="0" distB="0" distL="0" distR="0">
            <wp:extent cx="5943600" cy="3787979"/>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3600" cy="3787979"/>
                    </a:xfrm>
                    <a:prstGeom prst="rect">
                      <a:avLst/>
                    </a:prstGeom>
                    <a:noFill/>
                    <a:ln w="9525">
                      <a:noFill/>
                      <a:miter lim="800000"/>
                      <a:headEnd/>
                      <a:tailEnd/>
                    </a:ln>
                  </pic:spPr>
                </pic:pic>
              </a:graphicData>
            </a:graphic>
          </wp:inline>
        </w:drawing>
      </w:r>
    </w:p>
    <w:p w:rsidR="00044FDA" w:rsidRDefault="00044FDA" w:rsidP="00E43645">
      <w:pPr>
        <w:autoSpaceDE w:val="0"/>
        <w:autoSpaceDN w:val="0"/>
        <w:adjustRightInd w:val="0"/>
        <w:spacing w:after="0" w:line="240" w:lineRule="auto"/>
        <w:rPr>
          <w:rFonts w:cs="HelveticaNeueLTStd-Th"/>
        </w:rPr>
      </w:pPr>
    </w:p>
    <w:p w:rsidR="0015454C" w:rsidRDefault="00036086" w:rsidP="00E43645">
      <w:pPr>
        <w:autoSpaceDE w:val="0"/>
        <w:autoSpaceDN w:val="0"/>
        <w:adjustRightInd w:val="0"/>
        <w:spacing w:after="0" w:line="240" w:lineRule="auto"/>
        <w:rPr>
          <w:rFonts w:cs="HelveticaNeueLTStd-Th"/>
        </w:rPr>
      </w:pPr>
      <w:r>
        <w:rPr>
          <w:rFonts w:cs="HelveticaNeueLTStd-Lt"/>
        </w:rPr>
        <w:t>M</w:t>
      </w:r>
      <w:r w:rsidR="00DE3471">
        <w:rPr>
          <w:rFonts w:cs="HelveticaNeueLTStd-Lt"/>
        </w:rPr>
        <w:t xml:space="preserve">ore than 50% of youth </w:t>
      </w:r>
      <w:r w:rsidR="00482BA0">
        <w:rPr>
          <w:rFonts w:cs="HelveticaNeueLTStd-Lt"/>
        </w:rPr>
        <w:t xml:space="preserve">(52% of non-Aboriginals and </w:t>
      </w:r>
      <w:r w:rsidR="00912C25">
        <w:rPr>
          <w:rFonts w:cs="HelveticaNeueLTStd-Lt"/>
        </w:rPr>
        <w:t xml:space="preserve">approximately </w:t>
      </w:r>
      <w:r w:rsidR="00482BA0">
        <w:rPr>
          <w:rFonts w:cs="HelveticaNeueLTStd-Lt"/>
        </w:rPr>
        <w:t>55% of Aboriginals</w:t>
      </w:r>
      <w:r>
        <w:rPr>
          <w:rFonts w:cs="HelveticaNeueLTStd-Lt"/>
        </w:rPr>
        <w:t>) who completed the BC AHS</w:t>
      </w:r>
      <w:r w:rsidR="00482BA0">
        <w:rPr>
          <w:rFonts w:cs="HelveticaNeueLTStd-Lt"/>
        </w:rPr>
        <w:t xml:space="preserve"> </w:t>
      </w:r>
      <w:r w:rsidR="00DE3471">
        <w:rPr>
          <w:rFonts w:cs="HelveticaNeueLTStd-Lt"/>
        </w:rPr>
        <w:t>reported that they experienced negative consequenc</w:t>
      </w:r>
      <w:r w:rsidR="00583DC4">
        <w:rPr>
          <w:rFonts w:cs="HelveticaNeueLTStd-Lt"/>
        </w:rPr>
        <w:t>e</w:t>
      </w:r>
      <w:r w:rsidR="00077861">
        <w:rPr>
          <w:rFonts w:cs="HelveticaNeueLTStd-Lt"/>
        </w:rPr>
        <w:t>s</w:t>
      </w:r>
      <w:r w:rsidR="00583DC4">
        <w:rPr>
          <w:rFonts w:cs="HelveticaNeueLTStd-Lt"/>
        </w:rPr>
        <w:t xml:space="preserve"> as a result of using substances</w:t>
      </w:r>
      <w:r>
        <w:rPr>
          <w:rFonts w:cs="HelveticaNeueLTStd-Lt"/>
        </w:rPr>
        <w:t xml:space="preserve"> (Smith, Stewart, et al, 2014; </w:t>
      </w:r>
      <w:proofErr w:type="spellStart"/>
      <w:r>
        <w:rPr>
          <w:rFonts w:cs="HelveticaNeueLTStd-Lt"/>
        </w:rPr>
        <w:t>Tourand</w:t>
      </w:r>
      <w:proofErr w:type="spellEnd"/>
      <w:r>
        <w:rPr>
          <w:rFonts w:cs="HelveticaNeueLTStd-Lt"/>
        </w:rPr>
        <w:t>, Smith, et al, 2016).</w:t>
      </w:r>
      <w:r w:rsidR="00077861" w:rsidRPr="00077861">
        <w:rPr>
          <w:rFonts w:cs="HelveticaNeueLTStd-Lt"/>
        </w:rPr>
        <w:t xml:space="preserve"> </w:t>
      </w:r>
      <w:r w:rsidR="00077861">
        <w:rPr>
          <w:rFonts w:cs="HelveticaNeueLTStd-Lt"/>
        </w:rPr>
        <w:t xml:space="preserve">Forty percent of Aboriginal youth and 37% of non-Aboriginal youth </w:t>
      </w:r>
      <w:r w:rsidR="00AD76EB">
        <w:rPr>
          <w:rFonts w:cs="HelveticaNeueLTStd-Lt"/>
        </w:rPr>
        <w:t xml:space="preserve">reported being told they did something they </w:t>
      </w:r>
      <w:r w:rsidR="00077861">
        <w:rPr>
          <w:rFonts w:cs="HelveticaNeueLTStd-Lt"/>
        </w:rPr>
        <w:t>didn’t remember doing;</w:t>
      </w:r>
      <w:r w:rsidR="00AD76EB">
        <w:rPr>
          <w:rFonts w:cs="HelveticaNeueLTStd-Lt"/>
        </w:rPr>
        <w:t xml:space="preserve"> </w:t>
      </w:r>
      <w:r w:rsidR="00077861">
        <w:rPr>
          <w:rFonts w:cs="HelveticaNeueLTStd-Lt"/>
        </w:rPr>
        <w:t xml:space="preserve">32% of Aboriginal youth and 28% of non-Aboriginal youth reported passing out; </w:t>
      </w:r>
      <w:r w:rsidR="00CF76EE">
        <w:rPr>
          <w:rFonts w:cs="HelveticaNeueLTStd-Lt"/>
        </w:rPr>
        <w:t xml:space="preserve">18% of Aboriginal youth and 14% of non-Aboriginal youth reported being injured; and 18% of Aboriginal youth and 13% of non-Aboriginal youth </w:t>
      </w:r>
      <w:r w:rsidR="00B55143">
        <w:rPr>
          <w:rFonts w:cs="HelveticaNeueLTStd-Lt"/>
        </w:rPr>
        <w:t xml:space="preserve">reported arguing with family members </w:t>
      </w:r>
      <w:r w:rsidR="00B55143">
        <w:rPr>
          <w:rFonts w:cs="HelveticaNeueLTStd-Th"/>
        </w:rPr>
        <w:t xml:space="preserve">(Smith, </w:t>
      </w:r>
      <w:r w:rsidR="0004343E">
        <w:rPr>
          <w:rFonts w:cs="HelveticaNeueLTStd-Th"/>
        </w:rPr>
        <w:t>Stewart</w:t>
      </w:r>
      <w:r w:rsidR="00B55143">
        <w:rPr>
          <w:rFonts w:cs="HelveticaNeueLTStd-Th"/>
        </w:rPr>
        <w:t xml:space="preserve">, et al, 2014; </w:t>
      </w:r>
      <w:proofErr w:type="spellStart"/>
      <w:r w:rsidR="00B55143">
        <w:rPr>
          <w:rFonts w:cs="HelveticaNeueLTStd-Th"/>
        </w:rPr>
        <w:t>Tourand</w:t>
      </w:r>
      <w:proofErr w:type="spellEnd"/>
      <w:r w:rsidR="00B55143">
        <w:rPr>
          <w:rFonts w:cs="HelveticaNeueLTStd-Th"/>
        </w:rPr>
        <w:t>, Smith, et al, 2016).</w:t>
      </w:r>
      <w:r w:rsidR="005308ED">
        <w:rPr>
          <w:rFonts w:cs="HelveticaNeueLTStd-Th"/>
        </w:rPr>
        <w:t xml:space="preserve"> </w:t>
      </w:r>
      <w:r w:rsidR="00C56FE7">
        <w:rPr>
          <w:rFonts w:cs="HelveticaNeueLTStd-Th"/>
        </w:rPr>
        <w:t>By way of contrast to the youth in school, 76% of homeless/street-involved youth reported experiencing negative consequences as a result of using substances</w:t>
      </w:r>
      <w:r w:rsidR="005308ED">
        <w:rPr>
          <w:rFonts w:cs="HelveticaNeueLTStd-Th"/>
        </w:rPr>
        <w:t>; more specifically, 48</w:t>
      </w:r>
      <w:r w:rsidR="002A3B3F">
        <w:rPr>
          <w:rFonts w:cs="HelveticaNeueLTStd-Th"/>
        </w:rPr>
        <w:t>% of homeless</w:t>
      </w:r>
      <w:r w:rsidR="005308ED">
        <w:rPr>
          <w:rFonts w:cs="HelveticaNeueLTStd-Th"/>
        </w:rPr>
        <w:t xml:space="preserve"> youth reported passing out, 47% were told they did something they couldn’t remember doing, and 38% reported arguing with family members</w:t>
      </w:r>
      <w:r w:rsidR="00C56FE7">
        <w:rPr>
          <w:rFonts w:cs="HelveticaNeueLTStd-Th"/>
        </w:rPr>
        <w:t xml:space="preserve"> (</w:t>
      </w:r>
      <w:r w:rsidR="00C33C47">
        <w:rPr>
          <w:rFonts w:cs="HelveticaNeueLTStd-Th"/>
        </w:rPr>
        <w:t xml:space="preserve">Smith, Stewart, </w:t>
      </w:r>
      <w:r w:rsidR="002A3B3F">
        <w:rPr>
          <w:rFonts w:cs="HelveticaNeueLTStd-Th"/>
        </w:rPr>
        <w:t>et al</w:t>
      </w:r>
      <w:r w:rsidR="00C33C47">
        <w:rPr>
          <w:rFonts w:cs="HelveticaNeueLTStd-Th"/>
        </w:rPr>
        <w:t>, 2015</w:t>
      </w:r>
      <w:r w:rsidR="005308ED">
        <w:rPr>
          <w:rFonts w:cs="HelveticaNeueLTStd-Th"/>
        </w:rPr>
        <w:t>).</w:t>
      </w:r>
    </w:p>
    <w:p w:rsidR="007E352F" w:rsidRDefault="007E352F" w:rsidP="00E43645">
      <w:pPr>
        <w:autoSpaceDE w:val="0"/>
        <w:autoSpaceDN w:val="0"/>
        <w:adjustRightInd w:val="0"/>
        <w:spacing w:after="0" w:line="240" w:lineRule="auto"/>
        <w:rPr>
          <w:rFonts w:cs="HelveticaNeueLTStd-Th"/>
        </w:rPr>
      </w:pPr>
    </w:p>
    <w:p w:rsidR="00687A1B" w:rsidRPr="005308ED" w:rsidRDefault="005308ED" w:rsidP="00E43645">
      <w:pPr>
        <w:autoSpaceDE w:val="0"/>
        <w:autoSpaceDN w:val="0"/>
        <w:adjustRightInd w:val="0"/>
        <w:spacing w:after="0" w:line="240" w:lineRule="auto"/>
        <w:rPr>
          <w:rFonts w:cs="HelveticaNeueLTStd-Th"/>
        </w:rPr>
      </w:pPr>
      <w:r>
        <w:rPr>
          <w:rFonts w:cs="HelveticaNeueLTStd-Th"/>
        </w:rPr>
        <w:t xml:space="preserve">Among the youth that had completed the </w:t>
      </w:r>
      <w:r w:rsidRPr="002A3B3F">
        <w:rPr>
          <w:rFonts w:cs="HelveticaNeueLTStd-Th"/>
          <w:i/>
        </w:rPr>
        <w:t>BC AHS</w:t>
      </w:r>
      <w:r>
        <w:rPr>
          <w:rFonts w:cs="HelveticaNeueLTStd-Th"/>
        </w:rPr>
        <w:t>, 2% of non-Aboriginal and 3% of Aboriginal youth reported overdosing on a substance</w:t>
      </w:r>
      <w:r w:rsidR="00F9216F">
        <w:rPr>
          <w:rFonts w:cs="HelveticaNeueLTStd-Th"/>
        </w:rPr>
        <w:t xml:space="preserve">; 1% of non-Aboriginal youth and 3% of Aboriginal youth indicated they had to get treatment for substance abuse (Smith, </w:t>
      </w:r>
      <w:r w:rsidR="0004343E">
        <w:rPr>
          <w:rFonts w:cs="HelveticaNeueLTStd-Th"/>
        </w:rPr>
        <w:t>Stewart</w:t>
      </w:r>
      <w:r w:rsidR="00F9216F">
        <w:rPr>
          <w:rFonts w:cs="HelveticaNeueLTStd-Th"/>
        </w:rPr>
        <w:t xml:space="preserve"> et al, 2014; </w:t>
      </w:r>
      <w:proofErr w:type="spellStart"/>
      <w:r w:rsidR="00F9216F">
        <w:rPr>
          <w:rFonts w:cs="HelveticaNeueLTStd-Th"/>
        </w:rPr>
        <w:t>Tourand</w:t>
      </w:r>
      <w:proofErr w:type="spellEnd"/>
      <w:r w:rsidR="00F9216F">
        <w:rPr>
          <w:rFonts w:cs="HelveticaNeueLTStd-Th"/>
        </w:rPr>
        <w:t>, Smith, et al, 2016)</w:t>
      </w:r>
      <w:r w:rsidR="007E352F">
        <w:rPr>
          <w:rFonts w:cs="HelveticaNeueLTStd-Th"/>
        </w:rPr>
        <w:t>.</w:t>
      </w:r>
      <w:r w:rsidR="00F9216F">
        <w:rPr>
          <w:rFonts w:cs="HelveticaNeueLTStd-Th"/>
        </w:rPr>
        <w:t xml:space="preserve"> Aboriginal youth either felt or were told they needed help for a substance abuse program at twice the rate of non-Aboriginal youth</w:t>
      </w:r>
      <w:r w:rsidR="00595B47">
        <w:rPr>
          <w:rFonts w:cs="HelveticaNeueLTStd-Th"/>
        </w:rPr>
        <w:t xml:space="preserve"> (Smith, </w:t>
      </w:r>
      <w:r w:rsidR="0004343E">
        <w:rPr>
          <w:rFonts w:cs="HelveticaNeueLTStd-Th"/>
        </w:rPr>
        <w:t>Stewart</w:t>
      </w:r>
      <w:r w:rsidR="00595B47">
        <w:rPr>
          <w:rFonts w:cs="HelveticaNeueLTStd-Th"/>
        </w:rPr>
        <w:t xml:space="preserve"> et al, 20</w:t>
      </w:r>
      <w:r w:rsidR="009D445C">
        <w:rPr>
          <w:rFonts w:cs="HelveticaNeueLTStd-Th"/>
        </w:rPr>
        <w:t xml:space="preserve">14; </w:t>
      </w:r>
      <w:proofErr w:type="spellStart"/>
      <w:r w:rsidR="009D445C">
        <w:rPr>
          <w:rFonts w:cs="HelveticaNeueLTStd-Th"/>
        </w:rPr>
        <w:t>Tourand</w:t>
      </w:r>
      <w:proofErr w:type="spellEnd"/>
      <w:r w:rsidR="009D445C">
        <w:rPr>
          <w:rFonts w:cs="HelveticaNeueLTStd-Th"/>
        </w:rPr>
        <w:t>, Smith, et al, 2016</w:t>
      </w:r>
      <w:r w:rsidR="00595B47">
        <w:rPr>
          <w:rFonts w:cs="HelveticaNeueLTStd-Th"/>
        </w:rPr>
        <w:t>). Thirteen</w:t>
      </w:r>
      <w:r w:rsidR="002A3B3F">
        <w:rPr>
          <w:rFonts w:cs="HelveticaNeueLTStd-Th"/>
        </w:rPr>
        <w:t xml:space="preserve"> percent of</w:t>
      </w:r>
      <w:r w:rsidR="00595B47">
        <w:rPr>
          <w:rFonts w:cs="HelveticaNeueLTStd-Th"/>
        </w:rPr>
        <w:t xml:space="preserve"> homeless and street-involved youth reported overdosing, </w:t>
      </w:r>
      <w:r w:rsidR="002A3B3F">
        <w:rPr>
          <w:rFonts w:cs="HelveticaNeueLTStd-Th"/>
        </w:rPr>
        <w:t xml:space="preserve">and </w:t>
      </w:r>
      <w:r w:rsidR="00595B47">
        <w:rPr>
          <w:rFonts w:cs="HelveticaNeueLTStd-Th"/>
        </w:rPr>
        <w:t xml:space="preserve">10% reported having to get treatment for substance abuse (Smith, </w:t>
      </w:r>
      <w:r w:rsidR="00DE72D0">
        <w:rPr>
          <w:rFonts w:cs="HelveticaNeueLTStd-Th"/>
        </w:rPr>
        <w:t>Stewart</w:t>
      </w:r>
      <w:r w:rsidR="00595B47">
        <w:rPr>
          <w:rFonts w:cs="HelveticaNeueLTStd-Th"/>
        </w:rPr>
        <w:t>, et al, 2014).</w:t>
      </w:r>
      <w:r w:rsidR="00F9216F">
        <w:rPr>
          <w:rFonts w:cs="HelveticaNeueLTStd-Th"/>
        </w:rPr>
        <w:t xml:space="preserve"> </w:t>
      </w:r>
    </w:p>
    <w:p w:rsidR="00B267DC" w:rsidRDefault="00B267DC" w:rsidP="00E43645">
      <w:pPr>
        <w:autoSpaceDE w:val="0"/>
        <w:autoSpaceDN w:val="0"/>
        <w:adjustRightInd w:val="0"/>
        <w:spacing w:after="0" w:line="240" w:lineRule="auto"/>
        <w:rPr>
          <w:rFonts w:cs="HelveticaNeueLTStd-Th"/>
        </w:rPr>
      </w:pPr>
    </w:p>
    <w:p w:rsidR="00DE72D0" w:rsidRDefault="00DE72D0" w:rsidP="00E43645">
      <w:pPr>
        <w:autoSpaceDE w:val="0"/>
        <w:autoSpaceDN w:val="0"/>
        <w:adjustRightInd w:val="0"/>
        <w:spacing w:after="0" w:line="240" w:lineRule="auto"/>
        <w:rPr>
          <w:rFonts w:cs="HelveticaNeueLTStd-Th"/>
        </w:rPr>
      </w:pPr>
      <w:r>
        <w:rPr>
          <w:rFonts w:cs="HelveticaNeueLTStd-Th"/>
        </w:rPr>
        <w:t>Youth also reported getting into trouble with police</w:t>
      </w:r>
      <w:r w:rsidR="009D445C">
        <w:rPr>
          <w:rFonts w:cs="HelveticaNeueLTStd-Th"/>
        </w:rPr>
        <w:t xml:space="preserve">, damaging property, or getting into a physical fight, </w:t>
      </w:r>
      <w:r w:rsidR="002A3B3F">
        <w:rPr>
          <w:rFonts w:cs="HelveticaNeueLTStd-Th"/>
        </w:rPr>
        <w:t xml:space="preserve">although </w:t>
      </w:r>
      <w:r w:rsidR="009D445C">
        <w:rPr>
          <w:rFonts w:cs="HelveticaNeueLTStd-Th"/>
        </w:rPr>
        <w:t xml:space="preserve">non-Aboriginal females were the least likely to report any of these consequences (Smith, </w:t>
      </w:r>
      <w:r w:rsidR="00036086">
        <w:rPr>
          <w:rFonts w:cs="HelveticaNeueLTStd-Th"/>
        </w:rPr>
        <w:t>Stewart,</w:t>
      </w:r>
      <w:r w:rsidR="009D445C">
        <w:rPr>
          <w:rFonts w:cs="HelveticaNeueLTStd-Th"/>
        </w:rPr>
        <w:t xml:space="preserve"> et al, 2014; </w:t>
      </w:r>
      <w:proofErr w:type="spellStart"/>
      <w:r w:rsidR="009D445C">
        <w:rPr>
          <w:rFonts w:cs="HelveticaNeueLTStd-Th"/>
        </w:rPr>
        <w:t>Tourand</w:t>
      </w:r>
      <w:proofErr w:type="spellEnd"/>
      <w:r w:rsidR="009D445C">
        <w:rPr>
          <w:rFonts w:cs="HelveticaNeueLTStd-Th"/>
        </w:rPr>
        <w:t xml:space="preserve">, Smith, et al, 2016.). Among homeless and street-involved youth, 30% (triple the rate of Aboriginal youth and non-Aboriginal males in the BC AHS) reported getting into trouble with the police, 33% reported getting into a physical fight, </w:t>
      </w:r>
      <w:r w:rsidR="00F25724">
        <w:rPr>
          <w:rFonts w:cs="HelveticaNeueLTStd-Th"/>
        </w:rPr>
        <w:t>and 25% of street-involved youth reported damaging property as a negative consequence of using substances (Smith, Stewart, et al, 2014).</w:t>
      </w:r>
      <w:r w:rsidR="002A3B3F">
        <w:rPr>
          <w:rFonts w:cs="HelveticaNeueLTStd-Th"/>
        </w:rPr>
        <w:t xml:space="preserve"> See Table 4, below, for a more detailed list of the negative consequences youth experienced as a result of using substances:</w:t>
      </w:r>
    </w:p>
    <w:p w:rsidR="002A3B3F" w:rsidRDefault="002A3B3F" w:rsidP="00E43645">
      <w:pPr>
        <w:autoSpaceDE w:val="0"/>
        <w:autoSpaceDN w:val="0"/>
        <w:adjustRightInd w:val="0"/>
        <w:spacing w:after="0" w:line="240" w:lineRule="auto"/>
        <w:rPr>
          <w:rFonts w:cs="HelveticaNeueLTStd-Th"/>
        </w:rPr>
      </w:pPr>
    </w:p>
    <w:p w:rsidR="002A3B3F" w:rsidRDefault="00A542DB" w:rsidP="00E43645">
      <w:pPr>
        <w:autoSpaceDE w:val="0"/>
        <w:autoSpaceDN w:val="0"/>
        <w:adjustRightInd w:val="0"/>
        <w:spacing w:after="0" w:line="240" w:lineRule="auto"/>
        <w:rPr>
          <w:rFonts w:cs="HelveticaNeueLTStd-Th"/>
        </w:rPr>
      </w:pPr>
      <w:r w:rsidRPr="00A542DB">
        <w:rPr>
          <w:rFonts w:cs="HelveticaNeueLTStd-Th"/>
        </w:rPr>
      </w:r>
      <w:r>
        <w:rPr>
          <w:rFonts w:cs="HelveticaNeueLTStd-Th"/>
        </w:rPr>
        <w:pict>
          <v:group id="_x0000_s1028" editas="canvas" style="width:468pt;height:319.8pt;mso-position-horizontal-relative:char;mso-position-vertical-relative:line" coordsize="9360,639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360;height:6396" o:preferrelative="f">
              <v:fill o:detectmouseclick="t"/>
              <v:path o:extrusionok="t" o:connecttype="none"/>
              <o:lock v:ext="edit" text="t"/>
            </v:shape>
            <v:group id="_x0000_s1229" style="position:absolute;top:13;width:9202;height:6383" coordorigin=",13" coordsize="9202,6383">
              <v:rect id="_x0000_s1029" style="position:absolute;left:37;top:13;width:5569;height:453;mso-wrap-style:none" filled="f" stroked="f">
                <v:textbox style="mso-fit-shape-to-text:t" inset="0,0,0,0">
                  <w:txbxContent>
                    <w:p w:rsidR="00FF1E7B" w:rsidRDefault="00FF1E7B">
                      <w:r>
                        <w:rPr>
                          <w:rFonts w:ascii="Calibri" w:hAnsi="Calibri" w:cs="Calibri"/>
                          <w:b/>
                          <w:bCs/>
                          <w:color w:val="000000"/>
                          <w:sz w:val="18"/>
                          <w:szCs w:val="18"/>
                          <w:lang w:val="en-US"/>
                        </w:rPr>
                        <w:t>Table 4: Consequences of Substance Use for Various Groups of Youth in BC</w:t>
                      </w:r>
                    </w:p>
                  </w:txbxContent>
                </v:textbox>
              </v:rect>
              <v:rect id="_x0000_s1030" style="position:absolute;left:2665;top:1441;width:140;height:425;mso-wrap-style:none" filled="f" stroked="f">
                <v:textbox style="mso-fit-shape-to-text:t" inset="0,0,0,0">
                  <w:txbxContent>
                    <w:p w:rsidR="00FF1E7B" w:rsidRDefault="00FF1E7B">
                      <w:r>
                        <w:rPr>
                          <w:rFonts w:ascii="Calibri" w:hAnsi="Calibri" w:cs="Calibri"/>
                          <w:b/>
                          <w:bCs/>
                          <w:color w:val="000000"/>
                          <w:sz w:val="16"/>
                          <w:szCs w:val="16"/>
                          <w:lang w:val="en-US"/>
                        </w:rPr>
                        <w:t>M</w:t>
                      </w:r>
                    </w:p>
                  </w:txbxContent>
                </v:textbox>
              </v:rect>
              <v:rect id="_x0000_s1031" style="position:absolute;left:3194;top:1441;width:74;height:425;mso-wrap-style:none" filled="f" stroked="f">
                <v:textbox style="mso-fit-shape-to-text:t" inset="0,0,0,0">
                  <w:txbxContent>
                    <w:p w:rsidR="00FF1E7B" w:rsidRDefault="00FF1E7B">
                      <w:r>
                        <w:rPr>
                          <w:rFonts w:ascii="Calibri" w:hAnsi="Calibri" w:cs="Calibri"/>
                          <w:b/>
                          <w:bCs/>
                          <w:color w:val="000000"/>
                          <w:sz w:val="16"/>
                          <w:szCs w:val="16"/>
                          <w:lang w:val="en-US"/>
                        </w:rPr>
                        <w:t xml:space="preserve">F </w:t>
                      </w:r>
                    </w:p>
                  </w:txbxContent>
                </v:textbox>
              </v:rect>
              <v:rect id="_x0000_s1032" style="position:absolute;left:3690;top:1441;width:80;height:425;mso-wrap-style:none" filled="f" stroked="f">
                <v:textbox style="mso-fit-shape-to-text:t" inset="0,0,0,0">
                  <w:txbxContent>
                    <w:p w:rsidR="00FF1E7B" w:rsidRDefault="00FF1E7B">
                      <w:r>
                        <w:rPr>
                          <w:rFonts w:ascii="Calibri" w:hAnsi="Calibri" w:cs="Calibri"/>
                          <w:b/>
                          <w:bCs/>
                          <w:color w:val="000000"/>
                          <w:sz w:val="16"/>
                          <w:szCs w:val="16"/>
                          <w:lang w:val="en-US"/>
                        </w:rPr>
                        <w:t>T</w:t>
                      </w:r>
                    </w:p>
                  </w:txbxContent>
                </v:textbox>
              </v:rect>
              <v:rect id="_x0000_s1033" style="position:absolute;left:4159;top:1441;width:140;height:425;mso-wrap-style:none" filled="f" stroked="f">
                <v:textbox style="mso-fit-shape-to-text:t" inset="0,0,0,0">
                  <w:txbxContent>
                    <w:p w:rsidR="00FF1E7B" w:rsidRDefault="00FF1E7B">
                      <w:r>
                        <w:rPr>
                          <w:rFonts w:ascii="Calibri" w:hAnsi="Calibri" w:cs="Calibri"/>
                          <w:b/>
                          <w:bCs/>
                          <w:color w:val="000000"/>
                          <w:sz w:val="16"/>
                          <w:szCs w:val="16"/>
                          <w:lang w:val="en-US"/>
                        </w:rPr>
                        <w:t>M</w:t>
                      </w:r>
                    </w:p>
                  </w:txbxContent>
                </v:textbox>
              </v:rect>
              <v:rect id="_x0000_s1034" style="position:absolute;left:4688;top:1441;width:74;height:425;mso-wrap-style:none" filled="f" stroked="f">
                <v:textbox style="mso-fit-shape-to-text:t" inset="0,0,0,0">
                  <w:txbxContent>
                    <w:p w:rsidR="00FF1E7B" w:rsidRDefault="00FF1E7B">
                      <w:r>
                        <w:rPr>
                          <w:rFonts w:ascii="Calibri" w:hAnsi="Calibri" w:cs="Calibri"/>
                          <w:b/>
                          <w:bCs/>
                          <w:color w:val="000000"/>
                          <w:sz w:val="16"/>
                          <w:szCs w:val="16"/>
                          <w:lang w:val="en-US"/>
                        </w:rPr>
                        <w:t>F</w:t>
                      </w:r>
                    </w:p>
                  </w:txbxContent>
                </v:textbox>
              </v:rect>
              <v:rect id="_x0000_s1035" style="position:absolute;left:5185;top:1441;width:80;height:425;mso-wrap-style:none" filled="f" stroked="f">
                <v:textbox style="mso-fit-shape-to-text:t" inset="0,0,0,0">
                  <w:txbxContent>
                    <w:p w:rsidR="00FF1E7B" w:rsidRDefault="00FF1E7B">
                      <w:r>
                        <w:rPr>
                          <w:rFonts w:ascii="Calibri" w:hAnsi="Calibri" w:cs="Calibri"/>
                          <w:b/>
                          <w:bCs/>
                          <w:color w:val="000000"/>
                          <w:sz w:val="16"/>
                          <w:szCs w:val="16"/>
                          <w:lang w:val="en-US"/>
                        </w:rPr>
                        <w:t>T</w:t>
                      </w:r>
                    </w:p>
                  </w:txbxContent>
                </v:textbox>
              </v:rect>
              <v:rect id="_x0000_s1036" style="position:absolute;left:5653;top:1441;width:140;height:425;mso-wrap-style:none" filled="f" stroked="f">
                <v:textbox style="mso-fit-shape-to-text:t" inset="0,0,0,0">
                  <w:txbxContent>
                    <w:p w:rsidR="00FF1E7B" w:rsidRDefault="00FF1E7B">
                      <w:r>
                        <w:rPr>
                          <w:rFonts w:ascii="Calibri" w:hAnsi="Calibri" w:cs="Calibri"/>
                          <w:b/>
                          <w:bCs/>
                          <w:color w:val="000000"/>
                          <w:sz w:val="16"/>
                          <w:szCs w:val="16"/>
                          <w:lang w:val="en-US"/>
                        </w:rPr>
                        <w:t>M</w:t>
                      </w:r>
                    </w:p>
                  </w:txbxContent>
                </v:textbox>
              </v:rect>
              <v:rect id="_x0000_s1037" style="position:absolute;left:6183;top:1441;width:74;height:425;mso-wrap-style:none" filled="f" stroked="f">
                <v:textbox style="mso-fit-shape-to-text:t" inset="0,0,0,0">
                  <w:txbxContent>
                    <w:p w:rsidR="00FF1E7B" w:rsidRDefault="00FF1E7B">
                      <w:r>
                        <w:rPr>
                          <w:rFonts w:ascii="Calibri" w:hAnsi="Calibri" w:cs="Calibri"/>
                          <w:b/>
                          <w:bCs/>
                          <w:color w:val="000000"/>
                          <w:sz w:val="16"/>
                          <w:szCs w:val="16"/>
                          <w:lang w:val="en-US"/>
                        </w:rPr>
                        <w:t>F</w:t>
                      </w:r>
                    </w:p>
                  </w:txbxContent>
                </v:textbox>
              </v:rect>
              <v:rect id="_x0000_s1038" style="position:absolute;left:6679;top:1441;width:80;height:425;mso-wrap-style:none" filled="f" stroked="f">
                <v:textbox style="mso-fit-shape-to-text:t" inset="0,0,0,0">
                  <w:txbxContent>
                    <w:p w:rsidR="00FF1E7B" w:rsidRDefault="00FF1E7B">
                      <w:r>
                        <w:rPr>
                          <w:rFonts w:ascii="Calibri" w:hAnsi="Calibri" w:cs="Calibri"/>
                          <w:b/>
                          <w:bCs/>
                          <w:color w:val="000000"/>
                          <w:sz w:val="16"/>
                          <w:szCs w:val="16"/>
                          <w:lang w:val="en-US"/>
                        </w:rPr>
                        <w:t>T</w:t>
                      </w:r>
                    </w:p>
                  </w:txbxContent>
                </v:textbox>
              </v:rect>
              <v:rect id="_x0000_s1039" style="position:absolute;left:35;top:1630;width:2261;height:425;mso-wrap-style:none" filled="f" stroked="f">
                <v:textbox style="mso-fit-shape-to-text:t" inset="0,0,0,0">
                  <w:txbxContent>
                    <w:p w:rsidR="00FF1E7B" w:rsidRDefault="00FF1E7B">
                      <w:r>
                        <w:rPr>
                          <w:rFonts w:ascii="Calibri" w:hAnsi="Calibri" w:cs="Calibri"/>
                          <w:color w:val="000000"/>
                          <w:sz w:val="16"/>
                          <w:szCs w:val="16"/>
                          <w:lang w:val="en-US"/>
                        </w:rPr>
                        <w:t xml:space="preserve">Was told I did something I couldn't </w:t>
                      </w:r>
                    </w:p>
                  </w:txbxContent>
                </v:textbox>
              </v:rect>
              <v:rect id="_x0000_s1040" style="position:absolute;left:35;top:1831;width:691;height:425;mso-wrap-style:none" filled="f" stroked="f">
                <v:textbox style="mso-fit-shape-to-text:t" inset="0,0,0,0">
                  <w:txbxContent>
                    <w:p w:rsidR="00FF1E7B" w:rsidRDefault="00FF1E7B">
                      <w:proofErr w:type="gramStart"/>
                      <w:r>
                        <w:rPr>
                          <w:rFonts w:ascii="Calibri" w:hAnsi="Calibri" w:cs="Calibri"/>
                          <w:color w:val="000000"/>
                          <w:sz w:val="16"/>
                          <w:szCs w:val="16"/>
                          <w:lang w:val="en-US"/>
                        </w:rPr>
                        <w:t>remember</w:t>
                      </w:r>
                      <w:proofErr w:type="gramEnd"/>
                    </w:p>
                  </w:txbxContent>
                </v:textbox>
              </v:rect>
              <v:rect id="_x0000_s1041" style="position:absolute;left:2687;top:1838;width:277;height:425;mso-wrap-style:none" filled="f" stroked="f">
                <v:textbox style="mso-fit-shape-to-text:t" inset="0,0,0,0">
                  <w:txbxContent>
                    <w:p w:rsidR="00FF1E7B" w:rsidRDefault="00FF1E7B">
                      <w:r>
                        <w:rPr>
                          <w:rFonts w:ascii="Calibri" w:hAnsi="Calibri" w:cs="Calibri"/>
                          <w:color w:val="000000"/>
                          <w:sz w:val="16"/>
                          <w:szCs w:val="16"/>
                          <w:lang w:val="en-US"/>
                        </w:rPr>
                        <w:t>31%</w:t>
                      </w:r>
                    </w:p>
                  </w:txbxContent>
                </v:textbox>
              </v:rect>
              <v:rect id="_x0000_s1042" style="position:absolute;left:3185;top:1838;width:277;height:425;mso-wrap-style:none" filled="f" stroked="f">
                <v:textbox style="mso-fit-shape-to-text:t" inset="0,0,0,0">
                  <w:txbxContent>
                    <w:p w:rsidR="00FF1E7B" w:rsidRDefault="00FF1E7B">
                      <w:r>
                        <w:rPr>
                          <w:rFonts w:ascii="Calibri" w:hAnsi="Calibri" w:cs="Calibri"/>
                          <w:color w:val="000000"/>
                          <w:sz w:val="16"/>
                          <w:szCs w:val="16"/>
                          <w:lang w:val="en-US"/>
                        </w:rPr>
                        <w:t>42%</w:t>
                      </w:r>
                    </w:p>
                  </w:txbxContent>
                </v:textbox>
              </v:rect>
              <v:rect id="_x0000_s1043" style="position:absolute;left:3683;top:1838;width:277;height:425;mso-wrap-style:none" filled="f" stroked="f">
                <v:textbox style="mso-fit-shape-to-text:t" inset="0,0,0,0">
                  <w:txbxContent>
                    <w:p w:rsidR="00FF1E7B" w:rsidRDefault="00FF1E7B">
                      <w:r>
                        <w:rPr>
                          <w:rFonts w:ascii="Calibri" w:hAnsi="Calibri" w:cs="Calibri"/>
                          <w:color w:val="000000"/>
                          <w:sz w:val="16"/>
                          <w:szCs w:val="16"/>
                          <w:lang w:val="en-US"/>
                        </w:rPr>
                        <w:t>37%</w:t>
                      </w:r>
                    </w:p>
                  </w:txbxContent>
                </v:textbox>
              </v:rect>
              <v:rect id="_x0000_s1044" style="position:absolute;left:4181;top:1838;width:277;height:425;mso-wrap-style:none" filled="f" stroked="f">
                <v:textbox style="mso-fit-shape-to-text:t" inset="0,0,0,0">
                  <w:txbxContent>
                    <w:p w:rsidR="00FF1E7B" w:rsidRDefault="00FF1E7B">
                      <w:r>
                        <w:rPr>
                          <w:rFonts w:ascii="Calibri" w:hAnsi="Calibri" w:cs="Calibri"/>
                          <w:color w:val="000000"/>
                          <w:sz w:val="16"/>
                          <w:szCs w:val="16"/>
                          <w:lang w:val="en-US"/>
                        </w:rPr>
                        <w:t>34%</w:t>
                      </w:r>
                    </w:p>
                  </w:txbxContent>
                </v:textbox>
              </v:rect>
              <v:rect id="_x0000_s1045" style="position:absolute;left:4679;top:1838;width:277;height:425;mso-wrap-style:none" filled="f" stroked="f">
                <v:textbox style="mso-fit-shape-to-text:t" inset="0,0,0,0">
                  <w:txbxContent>
                    <w:p w:rsidR="00FF1E7B" w:rsidRDefault="00FF1E7B">
                      <w:r>
                        <w:rPr>
                          <w:rFonts w:ascii="Calibri" w:hAnsi="Calibri" w:cs="Calibri"/>
                          <w:color w:val="000000"/>
                          <w:sz w:val="16"/>
                          <w:szCs w:val="16"/>
                          <w:lang w:val="en-US"/>
                        </w:rPr>
                        <w:t>45%</w:t>
                      </w:r>
                    </w:p>
                  </w:txbxContent>
                </v:textbox>
              </v:rect>
              <v:rect id="_x0000_s1046" style="position:absolute;left:5177;top:1838;width:277;height:425;mso-wrap-style:none" filled="f" stroked="f">
                <v:textbox style="mso-fit-shape-to-text:t" inset="0,0,0,0">
                  <w:txbxContent>
                    <w:p w:rsidR="00FF1E7B" w:rsidRDefault="00FF1E7B">
                      <w:r>
                        <w:rPr>
                          <w:rFonts w:ascii="Calibri" w:hAnsi="Calibri" w:cs="Calibri"/>
                          <w:color w:val="000000"/>
                          <w:sz w:val="16"/>
                          <w:szCs w:val="16"/>
                          <w:lang w:val="en-US"/>
                        </w:rPr>
                        <w:t>40%</w:t>
                      </w:r>
                    </w:p>
                  </w:txbxContent>
                </v:textbox>
              </v:rect>
              <v:rect id="_x0000_s1047" style="position:absolute;left:5688;top:1751;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48" style="position:absolute;left:6186;top:1751;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49" style="position:absolute;left:6672;top:1838;width:277;height:425;mso-wrap-style:none" filled="f" stroked="f">
                <v:textbox style="mso-fit-shape-to-text:t" inset="0,0,0,0">
                  <w:txbxContent>
                    <w:p w:rsidR="00FF1E7B" w:rsidRDefault="00FF1E7B">
                      <w:r>
                        <w:rPr>
                          <w:rFonts w:ascii="Calibri" w:hAnsi="Calibri" w:cs="Calibri"/>
                          <w:color w:val="000000"/>
                          <w:sz w:val="16"/>
                          <w:szCs w:val="16"/>
                          <w:lang w:val="en-US"/>
                        </w:rPr>
                        <w:t>47%</w:t>
                      </w:r>
                    </w:p>
                  </w:txbxContent>
                </v:textbox>
              </v:rect>
              <v:rect id="_x0000_s1050" style="position:absolute;left:35;top:2062;width:707;height:425;mso-wrap-style:none" filled="f" stroked="f">
                <v:textbox style="mso-fit-shape-to-text:t" inset="0,0,0,0">
                  <w:txbxContent>
                    <w:p w:rsidR="00FF1E7B" w:rsidRDefault="00FF1E7B">
                      <w:r>
                        <w:rPr>
                          <w:rFonts w:ascii="Calibri" w:hAnsi="Calibri" w:cs="Calibri"/>
                          <w:color w:val="000000"/>
                          <w:sz w:val="16"/>
                          <w:szCs w:val="16"/>
                          <w:lang w:val="en-US"/>
                        </w:rPr>
                        <w:t>Passed out</w:t>
                      </w:r>
                    </w:p>
                  </w:txbxContent>
                </v:textbox>
              </v:rect>
              <v:rect id="_x0000_s1051" style="position:absolute;left:2687;top:2062;width:277;height:425;mso-wrap-style:none" filled="f" stroked="f">
                <v:textbox style="mso-fit-shape-to-text:t" inset="0,0,0,0">
                  <w:txbxContent>
                    <w:p w:rsidR="00FF1E7B" w:rsidRDefault="00FF1E7B">
                      <w:r>
                        <w:rPr>
                          <w:rFonts w:ascii="Calibri" w:hAnsi="Calibri" w:cs="Calibri"/>
                          <w:color w:val="000000"/>
                          <w:sz w:val="16"/>
                          <w:szCs w:val="16"/>
                          <w:lang w:val="en-US"/>
                        </w:rPr>
                        <w:t>26%</w:t>
                      </w:r>
                    </w:p>
                  </w:txbxContent>
                </v:textbox>
              </v:rect>
              <v:rect id="_x0000_s1052" style="position:absolute;left:3185;top:2062;width:277;height:425;mso-wrap-style:none" filled="f" stroked="f">
                <v:textbox style="mso-fit-shape-to-text:t" inset="0,0,0,0">
                  <w:txbxContent>
                    <w:p w:rsidR="00FF1E7B" w:rsidRDefault="00FF1E7B">
                      <w:r>
                        <w:rPr>
                          <w:rFonts w:ascii="Calibri" w:hAnsi="Calibri" w:cs="Calibri"/>
                          <w:color w:val="000000"/>
                          <w:sz w:val="16"/>
                          <w:szCs w:val="16"/>
                          <w:lang w:val="en-US"/>
                        </w:rPr>
                        <w:t>29%</w:t>
                      </w:r>
                    </w:p>
                  </w:txbxContent>
                </v:textbox>
              </v:rect>
              <v:rect id="_x0000_s1053" style="position:absolute;left:3683;top:2062;width:277;height:425;mso-wrap-style:none" filled="f" stroked="f">
                <v:textbox style="mso-fit-shape-to-text:t" inset="0,0,0,0">
                  <w:txbxContent>
                    <w:p w:rsidR="00FF1E7B" w:rsidRDefault="00FF1E7B">
                      <w:r>
                        <w:rPr>
                          <w:rFonts w:ascii="Calibri" w:hAnsi="Calibri" w:cs="Calibri"/>
                          <w:color w:val="000000"/>
                          <w:sz w:val="16"/>
                          <w:szCs w:val="16"/>
                          <w:lang w:val="en-US"/>
                        </w:rPr>
                        <w:t>28%</w:t>
                      </w:r>
                    </w:p>
                  </w:txbxContent>
                </v:textbox>
              </v:rect>
              <v:rect id="_x0000_s1054" style="position:absolute;left:4181;top:2062;width:277;height:425;mso-wrap-style:none" filled="f" stroked="f">
                <v:textbox style="mso-fit-shape-to-text:t" inset="0,0,0,0">
                  <w:txbxContent>
                    <w:p w:rsidR="00FF1E7B" w:rsidRDefault="00FF1E7B">
                      <w:r>
                        <w:rPr>
                          <w:rFonts w:ascii="Calibri" w:hAnsi="Calibri" w:cs="Calibri"/>
                          <w:color w:val="000000"/>
                          <w:sz w:val="16"/>
                          <w:szCs w:val="16"/>
                          <w:lang w:val="en-US"/>
                        </w:rPr>
                        <w:t>29%</w:t>
                      </w:r>
                    </w:p>
                  </w:txbxContent>
                </v:textbox>
              </v:rect>
              <v:rect id="_x0000_s1055" style="position:absolute;left:4679;top:2062;width:277;height:425;mso-wrap-style:none" filled="f" stroked="f">
                <v:textbox style="mso-fit-shape-to-text:t" inset="0,0,0,0">
                  <w:txbxContent>
                    <w:p w:rsidR="00FF1E7B" w:rsidRDefault="00FF1E7B">
                      <w:r>
                        <w:rPr>
                          <w:rFonts w:ascii="Calibri" w:hAnsi="Calibri" w:cs="Calibri"/>
                          <w:color w:val="000000"/>
                          <w:sz w:val="16"/>
                          <w:szCs w:val="16"/>
                          <w:lang w:val="en-US"/>
                        </w:rPr>
                        <w:t>34%</w:t>
                      </w:r>
                    </w:p>
                  </w:txbxContent>
                </v:textbox>
              </v:rect>
              <v:rect id="_x0000_s1056" style="position:absolute;left:5177;top:2062;width:277;height:425;mso-wrap-style:none" filled="f" stroked="f">
                <v:textbox style="mso-fit-shape-to-text:t" inset="0,0,0,0">
                  <w:txbxContent>
                    <w:p w:rsidR="00FF1E7B" w:rsidRDefault="00FF1E7B">
                      <w:r>
                        <w:rPr>
                          <w:rFonts w:ascii="Calibri" w:hAnsi="Calibri" w:cs="Calibri"/>
                          <w:color w:val="000000"/>
                          <w:sz w:val="16"/>
                          <w:szCs w:val="16"/>
                          <w:lang w:val="en-US"/>
                        </w:rPr>
                        <w:t>32%</w:t>
                      </w:r>
                    </w:p>
                  </w:txbxContent>
                </v:textbox>
              </v:rect>
              <v:rect id="_x0000_s1057" style="position:absolute;left:5688;top:2058;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58" style="position:absolute;left:6186;top:2058;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59" style="position:absolute;left:6672;top:2062;width:277;height:425;mso-wrap-style:none" filled="f" stroked="f">
                <v:textbox style="mso-fit-shape-to-text:t" inset="0,0,0,0">
                  <w:txbxContent>
                    <w:p w:rsidR="00FF1E7B" w:rsidRDefault="00FF1E7B">
                      <w:r>
                        <w:rPr>
                          <w:rFonts w:ascii="Calibri" w:hAnsi="Calibri" w:cs="Calibri"/>
                          <w:color w:val="000000"/>
                          <w:sz w:val="16"/>
                          <w:szCs w:val="16"/>
                          <w:lang w:val="en-US"/>
                        </w:rPr>
                        <w:t>48%</w:t>
                      </w:r>
                    </w:p>
                  </w:txbxContent>
                </v:textbox>
              </v:rect>
              <v:rect id="_x0000_s1060" style="position:absolute;left:35;top:2285;width:781;height:425;mso-wrap-style:none" filled="f" stroked="f">
                <v:textbox style="mso-fit-shape-to-text:t" inset="0,0,0,0">
                  <w:txbxContent>
                    <w:p w:rsidR="00FF1E7B" w:rsidRDefault="00FF1E7B">
                      <w:r>
                        <w:rPr>
                          <w:rFonts w:ascii="Calibri" w:hAnsi="Calibri" w:cs="Calibri"/>
                          <w:color w:val="000000"/>
                          <w:sz w:val="16"/>
                          <w:szCs w:val="16"/>
                          <w:lang w:val="en-US"/>
                        </w:rPr>
                        <w:t>Was injured</w:t>
                      </w:r>
                    </w:p>
                  </w:txbxContent>
                </v:textbox>
              </v:rect>
              <v:rect id="_x0000_s1061" style="position:absolute;left:2687;top:2285;width:277;height:425;mso-wrap-style:none" filled="f" stroked="f">
                <v:textbox style="mso-fit-shape-to-text:t" inset="0,0,0,0">
                  <w:txbxContent>
                    <w:p w:rsidR="00FF1E7B" w:rsidRDefault="00FF1E7B">
                      <w:r>
                        <w:rPr>
                          <w:rFonts w:ascii="Calibri" w:hAnsi="Calibri" w:cs="Calibri"/>
                          <w:color w:val="000000"/>
                          <w:sz w:val="16"/>
                          <w:szCs w:val="16"/>
                          <w:lang w:val="en-US"/>
                        </w:rPr>
                        <w:t>12%</w:t>
                      </w:r>
                    </w:p>
                  </w:txbxContent>
                </v:textbox>
              </v:rect>
              <v:rect id="_x0000_s1062" style="position:absolute;left:3185;top:2285;width:277;height:425;mso-wrap-style:none" filled="f" stroked="f">
                <v:textbox style="mso-fit-shape-to-text:t" inset="0,0,0,0">
                  <w:txbxContent>
                    <w:p w:rsidR="00FF1E7B" w:rsidRDefault="00FF1E7B">
                      <w:r>
                        <w:rPr>
                          <w:rFonts w:ascii="Calibri" w:hAnsi="Calibri" w:cs="Calibri"/>
                          <w:color w:val="000000"/>
                          <w:sz w:val="16"/>
                          <w:szCs w:val="16"/>
                          <w:lang w:val="en-US"/>
                        </w:rPr>
                        <w:t>17%</w:t>
                      </w:r>
                    </w:p>
                  </w:txbxContent>
                </v:textbox>
              </v:rect>
              <v:rect id="_x0000_s1063" style="position:absolute;left:3683;top:2285;width:277;height:425;mso-wrap-style:none" filled="f" stroked="f">
                <v:textbox style="mso-fit-shape-to-text:t" inset="0,0,0,0">
                  <w:txbxContent>
                    <w:p w:rsidR="00FF1E7B" w:rsidRDefault="00FF1E7B">
                      <w:r>
                        <w:rPr>
                          <w:rFonts w:ascii="Calibri" w:hAnsi="Calibri" w:cs="Calibri"/>
                          <w:color w:val="000000"/>
                          <w:sz w:val="16"/>
                          <w:szCs w:val="16"/>
                          <w:lang w:val="en-US"/>
                        </w:rPr>
                        <w:t>14%</w:t>
                      </w:r>
                    </w:p>
                  </w:txbxContent>
                </v:textbox>
              </v:rect>
              <v:rect id="_x0000_s1064" style="position:absolute;left:4181;top:2285;width:277;height:425;mso-wrap-style:none" filled="f" stroked="f">
                <v:textbox style="mso-fit-shape-to-text:t" inset="0,0,0,0">
                  <w:txbxContent>
                    <w:p w:rsidR="00FF1E7B" w:rsidRDefault="00FF1E7B">
                      <w:r>
                        <w:rPr>
                          <w:rFonts w:ascii="Calibri" w:hAnsi="Calibri" w:cs="Calibri"/>
                          <w:color w:val="000000"/>
                          <w:sz w:val="16"/>
                          <w:szCs w:val="16"/>
                          <w:lang w:val="en-US"/>
                        </w:rPr>
                        <w:t>15%</w:t>
                      </w:r>
                    </w:p>
                  </w:txbxContent>
                </v:textbox>
              </v:rect>
              <v:rect id="_x0000_s1065" style="position:absolute;left:4679;top:2285;width:277;height:425;mso-wrap-style:none" filled="f" stroked="f">
                <v:textbox style="mso-fit-shape-to-text:t" inset="0,0,0,0">
                  <w:txbxContent>
                    <w:p w:rsidR="00FF1E7B" w:rsidRDefault="00FF1E7B">
                      <w:r>
                        <w:rPr>
                          <w:rFonts w:ascii="Calibri" w:hAnsi="Calibri" w:cs="Calibri"/>
                          <w:color w:val="000000"/>
                          <w:sz w:val="16"/>
                          <w:szCs w:val="16"/>
                          <w:lang w:val="en-US"/>
                        </w:rPr>
                        <w:t>21%</w:t>
                      </w:r>
                    </w:p>
                  </w:txbxContent>
                </v:textbox>
              </v:rect>
              <v:rect id="_x0000_s1066" style="position:absolute;left:5190;top:2282;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67" style="position:absolute;left:5688;top:2282;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68" style="position:absolute;left:6186;top:2282;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69" style="position:absolute;left:6672;top:2285;width:277;height:425;mso-wrap-style:none" filled="f" stroked="f">
                <v:textbox style="mso-fit-shape-to-text:t" inset="0,0,0,0">
                  <w:txbxContent>
                    <w:p w:rsidR="00FF1E7B" w:rsidRDefault="00FF1E7B">
                      <w:r>
                        <w:rPr>
                          <w:rFonts w:ascii="Calibri" w:hAnsi="Calibri" w:cs="Calibri"/>
                          <w:color w:val="000000"/>
                          <w:sz w:val="16"/>
                          <w:szCs w:val="16"/>
                          <w:lang w:val="en-US"/>
                        </w:rPr>
                        <w:t>37%</w:t>
                      </w:r>
                    </w:p>
                  </w:txbxContent>
                </v:textbox>
              </v:rect>
              <v:rect id="_x0000_s1070" style="position:absolute;left:35;top:2509;width:1886;height:425;mso-wrap-style:none" filled="f" stroked="f">
                <v:textbox style="mso-fit-shape-to-text:t" inset="0,0,0,0">
                  <w:txbxContent>
                    <w:p w:rsidR="00FF1E7B" w:rsidRDefault="00FF1E7B">
                      <w:r>
                        <w:rPr>
                          <w:rFonts w:ascii="Calibri" w:hAnsi="Calibri" w:cs="Calibri"/>
                          <w:color w:val="000000"/>
                          <w:sz w:val="16"/>
                          <w:szCs w:val="16"/>
                          <w:lang w:val="en-US"/>
                        </w:rPr>
                        <w:t>Argued with family members</w:t>
                      </w:r>
                    </w:p>
                  </w:txbxContent>
                </v:textbox>
              </v:rect>
              <v:rect id="_x0000_s1071" style="position:absolute;left:2687;top:2509;width:277;height:425;mso-wrap-style:none" filled="f" stroked="f">
                <v:textbox style="mso-fit-shape-to-text:t" inset="0,0,0,0">
                  <w:txbxContent>
                    <w:p w:rsidR="00FF1E7B" w:rsidRDefault="00FF1E7B">
                      <w:r>
                        <w:rPr>
                          <w:rFonts w:ascii="Calibri" w:hAnsi="Calibri" w:cs="Calibri"/>
                          <w:color w:val="000000"/>
                          <w:sz w:val="16"/>
                          <w:szCs w:val="16"/>
                          <w:lang w:val="en-US"/>
                        </w:rPr>
                        <w:t>10%</w:t>
                      </w:r>
                    </w:p>
                  </w:txbxContent>
                </v:textbox>
              </v:rect>
              <v:rect id="_x0000_s1072" style="position:absolute;left:3185;top:2509;width:277;height:425;mso-wrap-style:none" filled="f" stroked="f">
                <v:textbox style="mso-fit-shape-to-text:t" inset="0,0,0,0">
                  <w:txbxContent>
                    <w:p w:rsidR="00FF1E7B" w:rsidRDefault="00FF1E7B">
                      <w:r>
                        <w:rPr>
                          <w:rFonts w:ascii="Calibri" w:hAnsi="Calibri" w:cs="Calibri"/>
                          <w:color w:val="000000"/>
                          <w:sz w:val="16"/>
                          <w:szCs w:val="16"/>
                          <w:lang w:val="en-US"/>
                        </w:rPr>
                        <w:t>15%</w:t>
                      </w:r>
                    </w:p>
                  </w:txbxContent>
                </v:textbox>
              </v:rect>
              <v:rect id="_x0000_s1073" style="position:absolute;left:3696;top:2505;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74" style="position:absolute;left:4181;top:2509;width:277;height:425;mso-wrap-style:none" filled="f" stroked="f">
                <v:textbox style="mso-fit-shape-to-text:t" inset="0,0,0,0">
                  <w:txbxContent>
                    <w:p w:rsidR="00FF1E7B" w:rsidRDefault="00FF1E7B">
                      <w:r>
                        <w:rPr>
                          <w:rFonts w:ascii="Calibri" w:hAnsi="Calibri" w:cs="Calibri"/>
                          <w:color w:val="000000"/>
                          <w:sz w:val="16"/>
                          <w:szCs w:val="16"/>
                          <w:lang w:val="en-US"/>
                        </w:rPr>
                        <w:t>13%</w:t>
                      </w:r>
                    </w:p>
                  </w:txbxContent>
                </v:textbox>
              </v:rect>
              <v:rect id="_x0000_s1075" style="position:absolute;left:4679;top:2509;width:277;height:425;mso-wrap-style:none" filled="f" stroked="f">
                <v:textbox style="mso-fit-shape-to-text:t" inset="0,0,0,0">
                  <w:txbxContent>
                    <w:p w:rsidR="00FF1E7B" w:rsidRDefault="00FF1E7B">
                      <w:r>
                        <w:rPr>
                          <w:rFonts w:ascii="Calibri" w:hAnsi="Calibri" w:cs="Calibri"/>
                          <w:color w:val="000000"/>
                          <w:sz w:val="16"/>
                          <w:szCs w:val="16"/>
                          <w:lang w:val="en-US"/>
                        </w:rPr>
                        <w:t>22%</w:t>
                      </w:r>
                    </w:p>
                  </w:txbxContent>
                </v:textbox>
              </v:rect>
              <v:rect id="_x0000_s1076" style="position:absolute;left:5190;top:2505;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77" style="position:absolute;left:5675;top:2509;width:277;height:425;mso-wrap-style:none" filled="f" stroked="f">
                <v:textbox style="mso-fit-shape-to-text:t" inset="0,0,0,0">
                  <w:txbxContent>
                    <w:p w:rsidR="00FF1E7B" w:rsidRDefault="00FF1E7B">
                      <w:r>
                        <w:rPr>
                          <w:rFonts w:ascii="Calibri" w:hAnsi="Calibri" w:cs="Calibri"/>
                          <w:color w:val="000000"/>
                          <w:sz w:val="16"/>
                          <w:szCs w:val="16"/>
                          <w:lang w:val="en-US"/>
                        </w:rPr>
                        <w:t>31%</w:t>
                      </w:r>
                    </w:p>
                  </w:txbxContent>
                </v:textbox>
              </v:rect>
              <v:rect id="_x0000_s1078" style="position:absolute;left:6173;top:2509;width:277;height:425;mso-wrap-style:none" filled="f" stroked="f">
                <v:textbox style="mso-fit-shape-to-text:t" inset="0,0,0,0">
                  <w:txbxContent>
                    <w:p w:rsidR="00FF1E7B" w:rsidRDefault="00FF1E7B">
                      <w:r>
                        <w:rPr>
                          <w:rFonts w:ascii="Calibri" w:hAnsi="Calibri" w:cs="Calibri"/>
                          <w:color w:val="000000"/>
                          <w:sz w:val="16"/>
                          <w:szCs w:val="16"/>
                          <w:lang w:val="en-US"/>
                        </w:rPr>
                        <w:t>44%</w:t>
                      </w:r>
                    </w:p>
                  </w:txbxContent>
                </v:textbox>
              </v:rect>
              <v:rect id="_x0000_s1079" style="position:absolute;left:6672;top:2509;width:277;height:425;mso-wrap-style:none" filled="f" stroked="f">
                <v:textbox style="mso-fit-shape-to-text:t" inset="0,0,0,0">
                  <w:txbxContent>
                    <w:p w:rsidR="00FF1E7B" w:rsidRDefault="00FF1E7B">
                      <w:r>
                        <w:rPr>
                          <w:rFonts w:ascii="Calibri" w:hAnsi="Calibri" w:cs="Calibri"/>
                          <w:color w:val="000000"/>
                          <w:sz w:val="16"/>
                          <w:szCs w:val="16"/>
                          <w:lang w:val="en-US"/>
                        </w:rPr>
                        <w:t>38%</w:t>
                      </w:r>
                    </w:p>
                  </w:txbxContent>
                </v:textbox>
              </v:rect>
              <v:rect id="_x0000_s1080" style="position:absolute;left:35;top:2733;width:1225;height:425;mso-wrap-style:none" filled="f" stroked="f">
                <v:textbox style="mso-fit-shape-to-text:t" inset="0,0,0,0">
                  <w:txbxContent>
                    <w:p w:rsidR="00FF1E7B" w:rsidRDefault="00FF1E7B">
                      <w:r>
                        <w:rPr>
                          <w:rFonts w:ascii="Calibri" w:hAnsi="Calibri" w:cs="Calibri"/>
                          <w:color w:val="000000"/>
                          <w:sz w:val="16"/>
                          <w:szCs w:val="16"/>
                          <w:lang w:val="en-US"/>
                        </w:rPr>
                        <w:t>Damaged property</w:t>
                      </w:r>
                    </w:p>
                  </w:txbxContent>
                </v:textbox>
              </v:rect>
              <v:rect id="_x0000_s1081" style="position:absolute;left:2687;top:2733;width:277;height:425;mso-wrap-style:none" filled="f" stroked="f">
                <v:textbox style="mso-fit-shape-to-text:t" inset="0,0,0,0">
                  <w:txbxContent>
                    <w:p w:rsidR="00FF1E7B" w:rsidRDefault="00FF1E7B">
                      <w:r>
                        <w:rPr>
                          <w:rFonts w:ascii="Calibri" w:hAnsi="Calibri" w:cs="Calibri"/>
                          <w:color w:val="000000"/>
                          <w:sz w:val="16"/>
                          <w:szCs w:val="16"/>
                          <w:lang w:val="en-US"/>
                        </w:rPr>
                        <w:t>10%</w:t>
                      </w:r>
                    </w:p>
                  </w:txbxContent>
                </v:textbox>
              </v:rect>
              <v:rect id="_x0000_s1082" style="position:absolute;left:3263;top:2733;width:196;height:425;mso-wrap-style:none" filled="f" stroked="f">
                <v:textbox style="mso-fit-shape-to-text:t" inset="0,0,0,0">
                  <w:txbxContent>
                    <w:p w:rsidR="00FF1E7B" w:rsidRDefault="00FF1E7B">
                      <w:r>
                        <w:rPr>
                          <w:rFonts w:ascii="Calibri" w:hAnsi="Calibri" w:cs="Calibri"/>
                          <w:color w:val="000000"/>
                          <w:sz w:val="16"/>
                          <w:szCs w:val="16"/>
                          <w:lang w:val="en-US"/>
                        </w:rPr>
                        <w:t>5%</w:t>
                      </w:r>
                    </w:p>
                  </w:txbxContent>
                </v:textbox>
              </v:rect>
              <v:rect id="_x0000_s1083" style="position:absolute;left:3696;top:2729;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84" style="position:absolute;left:4181;top:2733;width:277;height:425;mso-wrap-style:none" filled="f" stroked="f">
                <v:textbox style="mso-fit-shape-to-text:t" inset="0,0,0,0">
                  <w:txbxContent>
                    <w:p w:rsidR="00FF1E7B" w:rsidRDefault="00FF1E7B">
                      <w:r>
                        <w:rPr>
                          <w:rFonts w:ascii="Calibri" w:hAnsi="Calibri" w:cs="Calibri"/>
                          <w:color w:val="000000"/>
                          <w:sz w:val="16"/>
                          <w:szCs w:val="16"/>
                          <w:lang w:val="en-US"/>
                        </w:rPr>
                        <w:t>10%</w:t>
                      </w:r>
                    </w:p>
                  </w:txbxContent>
                </v:textbox>
              </v:rect>
              <v:rect id="_x0000_s1085" style="position:absolute;left:4757;top:2733;width:196;height:425;mso-wrap-style:none" filled="f" stroked="f">
                <v:textbox style="mso-fit-shape-to-text:t" inset="0,0,0,0">
                  <w:txbxContent>
                    <w:p w:rsidR="00FF1E7B" w:rsidRDefault="00FF1E7B">
                      <w:r>
                        <w:rPr>
                          <w:rFonts w:ascii="Calibri" w:hAnsi="Calibri" w:cs="Calibri"/>
                          <w:color w:val="000000"/>
                          <w:sz w:val="16"/>
                          <w:szCs w:val="16"/>
                          <w:lang w:val="en-US"/>
                        </w:rPr>
                        <w:t>9%</w:t>
                      </w:r>
                    </w:p>
                  </w:txbxContent>
                </v:textbox>
              </v:rect>
              <v:rect id="_x0000_s1086" style="position:absolute;left:5190;top:2729;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87" style="position:absolute;left:5688;top:2729;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88" style="position:absolute;left:6186;top:2729;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89" style="position:absolute;left:6672;top:2733;width:277;height:425;mso-wrap-style:none" filled="f" stroked="f">
                <v:textbox style="mso-fit-shape-to-text:t" inset="0,0,0,0">
                  <w:txbxContent>
                    <w:p w:rsidR="00FF1E7B" w:rsidRDefault="00FF1E7B">
                      <w:r>
                        <w:rPr>
                          <w:rFonts w:ascii="Calibri" w:hAnsi="Calibri" w:cs="Calibri"/>
                          <w:color w:val="000000"/>
                          <w:sz w:val="16"/>
                          <w:szCs w:val="16"/>
                          <w:lang w:val="en-US"/>
                        </w:rPr>
                        <w:t>25%</w:t>
                      </w:r>
                    </w:p>
                  </w:txbxContent>
                </v:textbox>
              </v:rect>
              <v:rect id="_x0000_s1090" style="position:absolute;left:35;top:2956;width:1539;height:425;mso-wrap-style:none" filled="f" stroked="f">
                <v:textbox style="mso-fit-shape-to-text:t" inset="0,0,0,0">
                  <w:txbxContent>
                    <w:p w:rsidR="00FF1E7B" w:rsidRDefault="00FF1E7B">
                      <w:r>
                        <w:rPr>
                          <w:rFonts w:ascii="Calibri" w:hAnsi="Calibri" w:cs="Calibri"/>
                          <w:color w:val="000000"/>
                          <w:sz w:val="16"/>
                          <w:szCs w:val="16"/>
                          <w:lang w:val="en-US"/>
                        </w:rPr>
                        <w:t>Got into a physical fight</w:t>
                      </w:r>
                    </w:p>
                  </w:txbxContent>
                </v:textbox>
              </v:rect>
              <v:rect id="_x0000_s1091" style="position:absolute;left:2765;top:2956;width:196;height:425;mso-wrap-style:none" filled="f" stroked="f">
                <v:textbox style="mso-fit-shape-to-text:t" inset="0,0,0,0">
                  <w:txbxContent>
                    <w:p w:rsidR="00FF1E7B" w:rsidRDefault="00FF1E7B">
                      <w:r>
                        <w:rPr>
                          <w:rFonts w:ascii="Calibri" w:hAnsi="Calibri" w:cs="Calibri"/>
                          <w:color w:val="000000"/>
                          <w:sz w:val="16"/>
                          <w:szCs w:val="16"/>
                          <w:lang w:val="en-US"/>
                        </w:rPr>
                        <w:t>8%</w:t>
                      </w:r>
                    </w:p>
                  </w:txbxContent>
                </v:textbox>
              </v:rect>
              <v:rect id="_x0000_s1092" style="position:absolute;left:3263;top:2956;width:196;height:425;mso-wrap-style:none" filled="f" stroked="f">
                <v:textbox style="mso-fit-shape-to-text:t" inset="0,0,0,0">
                  <w:txbxContent>
                    <w:p w:rsidR="00FF1E7B" w:rsidRDefault="00FF1E7B">
                      <w:r>
                        <w:rPr>
                          <w:rFonts w:ascii="Calibri" w:hAnsi="Calibri" w:cs="Calibri"/>
                          <w:color w:val="000000"/>
                          <w:sz w:val="16"/>
                          <w:szCs w:val="16"/>
                          <w:lang w:val="en-US"/>
                        </w:rPr>
                        <w:t>5%</w:t>
                      </w:r>
                    </w:p>
                  </w:txbxContent>
                </v:textbox>
              </v:rect>
              <v:rect id="_x0000_s1093" style="position:absolute;left:3696;top:2952;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94" style="position:absolute;left:4181;top:2956;width:277;height:425;mso-wrap-style:none" filled="f" stroked="f">
                <v:textbox style="mso-fit-shape-to-text:t" inset="0,0,0,0">
                  <w:txbxContent>
                    <w:p w:rsidR="00FF1E7B" w:rsidRDefault="00FF1E7B">
                      <w:r>
                        <w:rPr>
                          <w:rFonts w:ascii="Calibri" w:hAnsi="Calibri" w:cs="Calibri"/>
                          <w:color w:val="000000"/>
                          <w:sz w:val="16"/>
                          <w:szCs w:val="16"/>
                          <w:lang w:val="en-US"/>
                        </w:rPr>
                        <w:t>10%</w:t>
                      </w:r>
                    </w:p>
                  </w:txbxContent>
                </v:textbox>
              </v:rect>
              <v:rect id="_x0000_s1095" style="position:absolute;left:4679;top:2956;width:277;height:425;mso-wrap-style:none" filled="f" stroked="f">
                <v:textbox style="mso-fit-shape-to-text:t" inset="0,0,0,0">
                  <w:txbxContent>
                    <w:p w:rsidR="00FF1E7B" w:rsidRDefault="00FF1E7B">
                      <w:r>
                        <w:rPr>
                          <w:rFonts w:ascii="Calibri" w:hAnsi="Calibri" w:cs="Calibri"/>
                          <w:color w:val="000000"/>
                          <w:sz w:val="16"/>
                          <w:szCs w:val="16"/>
                          <w:lang w:val="en-US"/>
                        </w:rPr>
                        <w:t>10%</w:t>
                      </w:r>
                    </w:p>
                  </w:txbxContent>
                </v:textbox>
              </v:rect>
              <v:rect id="_x0000_s1096" style="position:absolute;left:5190;top:2952;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97" style="position:absolute;left:5688;top:2952;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98" style="position:absolute;left:6186;top:2952;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099" style="position:absolute;left:6672;top:2956;width:277;height:425;mso-wrap-style:none" filled="f" stroked="f">
                <v:textbox style="mso-fit-shape-to-text:t" inset="0,0,0,0">
                  <w:txbxContent>
                    <w:p w:rsidR="00FF1E7B" w:rsidRDefault="00FF1E7B">
                      <w:r>
                        <w:rPr>
                          <w:rFonts w:ascii="Calibri" w:hAnsi="Calibri" w:cs="Calibri"/>
                          <w:color w:val="000000"/>
                          <w:sz w:val="16"/>
                          <w:szCs w:val="16"/>
                          <w:lang w:val="en-US"/>
                        </w:rPr>
                        <w:t>33%</w:t>
                      </w:r>
                    </w:p>
                  </w:txbxContent>
                </v:textbox>
              </v:rect>
              <v:rect id="_x0000_s1100" style="position:absolute;left:35;top:3180;width:1936;height:425;mso-wrap-style:none" filled="f" stroked="f">
                <v:textbox style="mso-fit-shape-to-text:t" inset="0,0,0,0">
                  <w:txbxContent>
                    <w:p w:rsidR="00FF1E7B" w:rsidRDefault="00FF1E7B">
                      <w:r>
                        <w:rPr>
                          <w:rFonts w:ascii="Calibri" w:hAnsi="Calibri" w:cs="Calibri"/>
                          <w:color w:val="000000"/>
                          <w:sz w:val="16"/>
                          <w:szCs w:val="16"/>
                          <w:lang w:val="en-US"/>
                        </w:rPr>
                        <w:t xml:space="preserve">Had sex when I didn't want to </w:t>
                      </w:r>
                    </w:p>
                  </w:txbxContent>
                </v:textbox>
              </v:rect>
              <v:rect id="_x0000_s1101" style="position:absolute;left:2765;top:3180;width:196;height:425;mso-wrap-style:none" filled="f" stroked="f">
                <v:textbox style="mso-fit-shape-to-text:t" inset="0,0,0,0">
                  <w:txbxContent>
                    <w:p w:rsidR="00FF1E7B" w:rsidRDefault="00FF1E7B">
                      <w:r>
                        <w:rPr>
                          <w:rFonts w:ascii="Calibri" w:hAnsi="Calibri" w:cs="Calibri"/>
                          <w:color w:val="000000"/>
                          <w:sz w:val="16"/>
                          <w:szCs w:val="16"/>
                          <w:lang w:val="en-US"/>
                        </w:rPr>
                        <w:t>4%</w:t>
                      </w:r>
                    </w:p>
                  </w:txbxContent>
                </v:textbox>
              </v:rect>
              <v:rect id="_x0000_s1102" style="position:absolute;left:3263;top:3180;width:196;height:425;mso-wrap-style:none" filled="f" stroked="f">
                <v:textbox style="mso-fit-shape-to-text:t" inset="0,0,0,0">
                  <w:txbxContent>
                    <w:p w:rsidR="00FF1E7B" w:rsidRDefault="00FF1E7B">
                      <w:r>
                        <w:rPr>
                          <w:rFonts w:ascii="Calibri" w:hAnsi="Calibri" w:cs="Calibri"/>
                          <w:color w:val="000000"/>
                          <w:sz w:val="16"/>
                          <w:szCs w:val="16"/>
                          <w:lang w:val="en-US"/>
                        </w:rPr>
                        <w:t>7%</w:t>
                      </w:r>
                    </w:p>
                  </w:txbxContent>
                </v:textbox>
              </v:rect>
              <v:rect id="_x0000_s1103" style="position:absolute;left:3696;top:317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04" style="position:absolute;left:4259;top:3180;width:196;height:425;mso-wrap-style:none" filled="f" stroked="f">
                <v:textbox style="mso-fit-shape-to-text:t" inset="0,0,0,0">
                  <w:txbxContent>
                    <w:p w:rsidR="00FF1E7B" w:rsidRDefault="00FF1E7B">
                      <w:r>
                        <w:rPr>
                          <w:rFonts w:ascii="Calibri" w:hAnsi="Calibri" w:cs="Calibri"/>
                          <w:color w:val="000000"/>
                          <w:sz w:val="16"/>
                          <w:szCs w:val="16"/>
                          <w:lang w:val="en-US"/>
                        </w:rPr>
                        <w:t>7%</w:t>
                      </w:r>
                    </w:p>
                  </w:txbxContent>
                </v:textbox>
              </v:rect>
              <v:rect id="_x0000_s1105" style="position:absolute;left:4679;top:3180;width:277;height:425;mso-wrap-style:none" filled="f" stroked="f">
                <v:textbox style="mso-fit-shape-to-text:t" inset="0,0,0,0">
                  <w:txbxContent>
                    <w:p w:rsidR="00FF1E7B" w:rsidRDefault="00FF1E7B">
                      <w:r>
                        <w:rPr>
                          <w:rFonts w:ascii="Calibri" w:hAnsi="Calibri" w:cs="Calibri"/>
                          <w:color w:val="000000"/>
                          <w:sz w:val="16"/>
                          <w:szCs w:val="16"/>
                          <w:lang w:val="en-US"/>
                        </w:rPr>
                        <w:t>10%</w:t>
                      </w:r>
                    </w:p>
                  </w:txbxContent>
                </v:textbox>
              </v:rect>
              <v:rect id="_x0000_s1106" style="position:absolute;left:5190;top:317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07" style="position:absolute;left:5753;top:3180;width:196;height:425;mso-wrap-style:none" filled="f" stroked="f">
                <v:textbox style="mso-fit-shape-to-text:t" inset="0,0,0,0">
                  <w:txbxContent>
                    <w:p w:rsidR="00FF1E7B" w:rsidRDefault="00FF1E7B">
                      <w:r>
                        <w:rPr>
                          <w:rFonts w:ascii="Calibri" w:hAnsi="Calibri" w:cs="Calibri"/>
                          <w:color w:val="000000"/>
                          <w:sz w:val="16"/>
                          <w:szCs w:val="16"/>
                          <w:lang w:val="en-US"/>
                        </w:rPr>
                        <w:t>9%</w:t>
                      </w:r>
                    </w:p>
                  </w:txbxContent>
                </v:textbox>
              </v:rect>
              <v:rect id="_x0000_s1108" style="position:absolute;left:6173;top:3180;width:277;height:425;mso-wrap-style:none" filled="f" stroked="f">
                <v:textbox style="mso-fit-shape-to-text:t" inset="0,0,0,0">
                  <w:txbxContent>
                    <w:p w:rsidR="00FF1E7B" w:rsidRDefault="00FF1E7B">
                      <w:r>
                        <w:rPr>
                          <w:rFonts w:ascii="Calibri" w:hAnsi="Calibri" w:cs="Calibri"/>
                          <w:color w:val="000000"/>
                          <w:sz w:val="16"/>
                          <w:szCs w:val="16"/>
                          <w:lang w:val="en-US"/>
                        </w:rPr>
                        <w:t>21%</w:t>
                      </w:r>
                    </w:p>
                  </w:txbxContent>
                </v:textbox>
              </v:rect>
              <v:rect id="_x0000_s1109" style="position:absolute;left:6672;top:3180;width:277;height:425;mso-wrap-style:none" filled="f" stroked="f">
                <v:textbox style="mso-fit-shape-to-text:t" inset="0,0,0,0">
                  <w:txbxContent>
                    <w:p w:rsidR="00FF1E7B" w:rsidRDefault="00FF1E7B">
                      <w:r>
                        <w:rPr>
                          <w:rFonts w:ascii="Calibri" w:hAnsi="Calibri" w:cs="Calibri"/>
                          <w:color w:val="000000"/>
                          <w:sz w:val="16"/>
                          <w:szCs w:val="16"/>
                          <w:lang w:val="en-US"/>
                        </w:rPr>
                        <w:t>16%</w:t>
                      </w:r>
                    </w:p>
                  </w:txbxContent>
                </v:textbox>
              </v:rect>
              <v:rect id="_x0000_s1110" style="position:absolute;left:35;top:3403;width:709;height:425;mso-wrap-style:none" filled="f" stroked="f">
                <v:textbox style="mso-fit-shape-to-text:t" inset="0,0,0,0">
                  <w:txbxContent>
                    <w:p w:rsidR="00FF1E7B" w:rsidRDefault="00FF1E7B">
                      <w:r>
                        <w:rPr>
                          <w:rFonts w:ascii="Calibri" w:hAnsi="Calibri" w:cs="Calibri"/>
                          <w:color w:val="000000"/>
                          <w:sz w:val="16"/>
                          <w:szCs w:val="16"/>
                          <w:lang w:val="en-US"/>
                        </w:rPr>
                        <w:t>Overdosed</w:t>
                      </w:r>
                    </w:p>
                  </w:txbxContent>
                </v:textbox>
              </v:rect>
              <v:rect id="_x0000_s1111" style="position:absolute;left:2765;top:3403;width:196;height:425;mso-wrap-style:none" filled="f" stroked="f">
                <v:textbox style="mso-fit-shape-to-text:t" inset="0,0,0,0">
                  <w:txbxContent>
                    <w:p w:rsidR="00FF1E7B" w:rsidRDefault="00FF1E7B">
                      <w:r>
                        <w:rPr>
                          <w:rFonts w:ascii="Calibri" w:hAnsi="Calibri" w:cs="Calibri"/>
                          <w:color w:val="000000"/>
                          <w:sz w:val="16"/>
                          <w:szCs w:val="16"/>
                          <w:lang w:val="en-US"/>
                        </w:rPr>
                        <w:t>2%</w:t>
                      </w:r>
                    </w:p>
                  </w:txbxContent>
                </v:textbox>
              </v:rect>
              <v:rect id="_x0000_s1112" style="position:absolute;left:3263;top:3403;width:196;height:425;mso-wrap-style:none" filled="f" stroked="f">
                <v:textbox style="mso-fit-shape-to-text:t" inset="0,0,0,0">
                  <w:txbxContent>
                    <w:p w:rsidR="00FF1E7B" w:rsidRDefault="00FF1E7B">
                      <w:r>
                        <w:rPr>
                          <w:rFonts w:ascii="Calibri" w:hAnsi="Calibri" w:cs="Calibri"/>
                          <w:color w:val="000000"/>
                          <w:sz w:val="16"/>
                          <w:szCs w:val="16"/>
                          <w:lang w:val="en-US"/>
                        </w:rPr>
                        <w:t>2%</w:t>
                      </w:r>
                    </w:p>
                  </w:txbxContent>
                </v:textbox>
              </v:rect>
              <v:rect id="_x0000_s1113" style="position:absolute;left:3696;top:3400;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14" style="position:absolute;left:4259;top:3403;width:196;height:425;mso-wrap-style:none" filled="f" stroked="f">
                <v:textbox style="mso-fit-shape-to-text:t" inset="0,0,0,0">
                  <w:txbxContent>
                    <w:p w:rsidR="00FF1E7B" w:rsidRDefault="00FF1E7B">
                      <w:r>
                        <w:rPr>
                          <w:rFonts w:ascii="Calibri" w:hAnsi="Calibri" w:cs="Calibri"/>
                          <w:color w:val="000000"/>
                          <w:sz w:val="16"/>
                          <w:szCs w:val="16"/>
                          <w:lang w:val="en-US"/>
                        </w:rPr>
                        <w:t>3%</w:t>
                      </w:r>
                    </w:p>
                  </w:txbxContent>
                </v:textbox>
              </v:rect>
              <v:rect id="_x0000_s1115" style="position:absolute;left:4757;top:3403;width:196;height:425;mso-wrap-style:none" filled="f" stroked="f">
                <v:textbox style="mso-fit-shape-to-text:t" inset="0,0,0,0">
                  <w:txbxContent>
                    <w:p w:rsidR="00FF1E7B" w:rsidRDefault="00FF1E7B">
                      <w:r>
                        <w:rPr>
                          <w:rFonts w:ascii="Calibri" w:hAnsi="Calibri" w:cs="Calibri"/>
                          <w:color w:val="000000"/>
                          <w:sz w:val="16"/>
                          <w:szCs w:val="16"/>
                          <w:lang w:val="en-US"/>
                        </w:rPr>
                        <w:t>3%</w:t>
                      </w:r>
                    </w:p>
                  </w:txbxContent>
                </v:textbox>
              </v:rect>
              <v:rect id="_x0000_s1116" style="position:absolute;left:5190;top:3400;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17" style="position:absolute;left:5688;top:3400;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18" style="position:absolute;left:6186;top:3400;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19" style="position:absolute;left:6672;top:3403;width:277;height:425;mso-wrap-style:none" filled="f" stroked="f">
                <v:textbox style="mso-fit-shape-to-text:t" inset="0,0,0,0">
                  <w:txbxContent>
                    <w:p w:rsidR="00FF1E7B" w:rsidRDefault="00FF1E7B">
                      <w:r>
                        <w:rPr>
                          <w:rFonts w:ascii="Calibri" w:hAnsi="Calibri" w:cs="Calibri"/>
                          <w:color w:val="000000"/>
                          <w:sz w:val="16"/>
                          <w:szCs w:val="16"/>
                          <w:lang w:val="en-US"/>
                        </w:rPr>
                        <w:t>13%</w:t>
                      </w:r>
                    </w:p>
                  </w:txbxContent>
                </v:textbox>
              </v:rect>
              <v:rect id="_x0000_s1120" style="position:absolute;left:35;top:3584;width:2473;height:425;mso-wrap-style:none" filled="f" stroked="f">
                <v:textbox style="mso-fit-shape-to-text:t" inset="0,0,0,0">
                  <w:txbxContent>
                    <w:p w:rsidR="00FF1E7B" w:rsidRDefault="00FF1E7B">
                      <w:r>
                        <w:rPr>
                          <w:rFonts w:ascii="Calibri" w:hAnsi="Calibri" w:cs="Calibri"/>
                          <w:color w:val="000000"/>
                          <w:sz w:val="16"/>
                          <w:szCs w:val="16"/>
                          <w:lang w:val="en-US"/>
                        </w:rPr>
                        <w:t xml:space="preserve">Had to get treatment for drug/alcohol </w:t>
                      </w:r>
                    </w:p>
                  </w:txbxContent>
                </v:textbox>
              </v:rect>
              <v:rect id="_x0000_s1121" style="position:absolute;left:35;top:3786;width:387;height:425;mso-wrap-style:none" filled="f" stroked="f">
                <v:textbox style="mso-fit-shape-to-text:t" inset="0,0,0,0">
                  <w:txbxContent>
                    <w:p w:rsidR="00FF1E7B" w:rsidRDefault="00FF1E7B">
                      <w:proofErr w:type="gramStart"/>
                      <w:r>
                        <w:rPr>
                          <w:rFonts w:ascii="Calibri" w:hAnsi="Calibri" w:cs="Calibri"/>
                          <w:color w:val="000000"/>
                          <w:sz w:val="16"/>
                          <w:szCs w:val="16"/>
                          <w:lang w:val="en-US"/>
                        </w:rPr>
                        <w:t>abuse</w:t>
                      </w:r>
                      <w:proofErr w:type="gramEnd"/>
                    </w:p>
                  </w:txbxContent>
                </v:textbox>
              </v:rect>
              <v:rect id="_x0000_s1122" style="position:absolute;left:2765;top:3793;width:196;height:425;mso-wrap-style:none" filled="f" stroked="f">
                <v:textbox style="mso-fit-shape-to-text:t" inset="0,0,0,0">
                  <w:txbxContent>
                    <w:p w:rsidR="00FF1E7B" w:rsidRDefault="00FF1E7B">
                      <w:r>
                        <w:rPr>
                          <w:rFonts w:ascii="Calibri" w:hAnsi="Calibri" w:cs="Calibri"/>
                          <w:color w:val="000000"/>
                          <w:sz w:val="16"/>
                          <w:szCs w:val="16"/>
                          <w:lang w:val="en-US"/>
                        </w:rPr>
                        <w:t>1%</w:t>
                      </w:r>
                    </w:p>
                  </w:txbxContent>
                </v:textbox>
              </v:rect>
              <v:rect id="_x0000_s1123" style="position:absolute;left:3263;top:3793;width:196;height:425;mso-wrap-style:none" filled="f" stroked="f">
                <v:textbox style="mso-fit-shape-to-text:t" inset="0,0,0,0">
                  <w:txbxContent>
                    <w:p w:rsidR="00FF1E7B" w:rsidRDefault="00FF1E7B">
                      <w:r>
                        <w:rPr>
                          <w:rFonts w:ascii="Calibri" w:hAnsi="Calibri" w:cs="Calibri"/>
                          <w:color w:val="000000"/>
                          <w:sz w:val="16"/>
                          <w:szCs w:val="16"/>
                          <w:lang w:val="en-US"/>
                        </w:rPr>
                        <w:t>1%</w:t>
                      </w:r>
                    </w:p>
                  </w:txbxContent>
                </v:textbox>
              </v:rect>
              <v:rect id="_x0000_s1124" style="position:absolute;left:3696;top:370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25" style="position:absolute;left:4259;top:3793;width:196;height:425;mso-wrap-style:none" filled="f" stroked="f">
                <v:textbox style="mso-fit-shape-to-text:t" inset="0,0,0,0">
                  <w:txbxContent>
                    <w:p w:rsidR="00FF1E7B" w:rsidRDefault="00FF1E7B">
                      <w:r>
                        <w:rPr>
                          <w:rFonts w:ascii="Calibri" w:hAnsi="Calibri" w:cs="Calibri"/>
                          <w:color w:val="000000"/>
                          <w:sz w:val="16"/>
                          <w:szCs w:val="16"/>
                          <w:lang w:val="en-US"/>
                        </w:rPr>
                        <w:t>1%</w:t>
                      </w:r>
                    </w:p>
                  </w:txbxContent>
                </v:textbox>
              </v:rect>
              <v:rect id="_x0000_s1126" style="position:absolute;left:4757;top:3793;width:196;height:425;mso-wrap-style:none" filled="f" stroked="f">
                <v:textbox style="mso-fit-shape-to-text:t" inset="0,0,0,0">
                  <w:txbxContent>
                    <w:p w:rsidR="00FF1E7B" w:rsidRDefault="00FF1E7B">
                      <w:r>
                        <w:rPr>
                          <w:rFonts w:ascii="Calibri" w:hAnsi="Calibri" w:cs="Calibri"/>
                          <w:color w:val="000000"/>
                          <w:sz w:val="16"/>
                          <w:szCs w:val="16"/>
                          <w:lang w:val="en-US"/>
                        </w:rPr>
                        <w:t>2%</w:t>
                      </w:r>
                    </w:p>
                  </w:txbxContent>
                </v:textbox>
              </v:rect>
              <v:rect id="_x0000_s1127" style="position:absolute;left:5190;top:370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28" style="position:absolute;left:5688;top:370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29" style="position:absolute;left:6186;top:370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30" style="position:absolute;left:6672;top:3793;width:277;height:425;mso-wrap-style:none" filled="f" stroked="f">
                <v:textbox style="mso-fit-shape-to-text:t" inset="0,0,0,0">
                  <w:txbxContent>
                    <w:p w:rsidR="00FF1E7B" w:rsidRDefault="00FF1E7B">
                      <w:r>
                        <w:rPr>
                          <w:rFonts w:ascii="Calibri" w:hAnsi="Calibri" w:cs="Calibri"/>
                          <w:color w:val="000000"/>
                          <w:sz w:val="16"/>
                          <w:szCs w:val="16"/>
                          <w:lang w:val="en-US"/>
                        </w:rPr>
                        <w:t>10%</w:t>
                      </w:r>
                    </w:p>
                  </w:txbxContent>
                </v:textbox>
              </v:rect>
              <v:rect id="_x0000_s1131" style="position:absolute;left:35;top:3974;width:2317;height:425;mso-wrap-style:none" filled="f" stroked="f">
                <v:textbox style="mso-fit-shape-to-text:t" inset="0,0,0,0">
                  <w:txbxContent>
                    <w:p w:rsidR="00FF1E7B" w:rsidRDefault="00FF1E7B">
                      <w:r>
                        <w:rPr>
                          <w:rFonts w:ascii="Calibri" w:hAnsi="Calibri" w:cs="Calibri"/>
                          <w:color w:val="000000"/>
                          <w:sz w:val="16"/>
                          <w:szCs w:val="16"/>
                          <w:lang w:val="en-US"/>
                        </w:rPr>
                        <w:t xml:space="preserve">Needed help/Was told needed help </w:t>
                      </w:r>
                    </w:p>
                  </w:txbxContent>
                </v:textbox>
              </v:rect>
              <v:rect id="_x0000_s1132" style="position:absolute;left:35;top:4175;width:1143;height:425;mso-wrap-style:none" filled="f" stroked="f">
                <v:textbox style="mso-fit-shape-to-text:t" inset="0,0,0,0">
                  <w:txbxContent>
                    <w:p w:rsidR="00FF1E7B" w:rsidRDefault="00FF1E7B">
                      <w:proofErr w:type="gramStart"/>
                      <w:r>
                        <w:rPr>
                          <w:rFonts w:ascii="Calibri" w:hAnsi="Calibri" w:cs="Calibri"/>
                          <w:color w:val="000000"/>
                          <w:sz w:val="16"/>
                          <w:szCs w:val="16"/>
                          <w:lang w:val="en-US"/>
                        </w:rPr>
                        <w:t>for</w:t>
                      </w:r>
                      <w:proofErr w:type="gramEnd"/>
                      <w:r>
                        <w:rPr>
                          <w:rFonts w:ascii="Calibri" w:hAnsi="Calibri" w:cs="Calibri"/>
                          <w:color w:val="000000"/>
                          <w:sz w:val="16"/>
                          <w:szCs w:val="16"/>
                          <w:lang w:val="en-US"/>
                        </w:rPr>
                        <w:t xml:space="preserve"> substance use</w:t>
                      </w:r>
                    </w:p>
                  </w:txbxContent>
                </v:textbox>
              </v:rect>
              <v:rect id="_x0000_s1133" style="position:absolute;left:2700;top:409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34" style="position:absolute;left:3198;top:409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35" style="position:absolute;left:3761;top:4183;width:196;height:425;mso-wrap-style:none" filled="f" stroked="f">
                <v:textbox style="mso-fit-shape-to-text:t" inset="0,0,0,0">
                  <w:txbxContent>
                    <w:p w:rsidR="00FF1E7B" w:rsidRDefault="00FF1E7B">
                      <w:r>
                        <w:rPr>
                          <w:rFonts w:ascii="Calibri" w:hAnsi="Calibri" w:cs="Calibri"/>
                          <w:color w:val="000000"/>
                          <w:sz w:val="16"/>
                          <w:szCs w:val="16"/>
                          <w:lang w:val="en-US"/>
                        </w:rPr>
                        <w:t>5%</w:t>
                      </w:r>
                    </w:p>
                  </w:txbxContent>
                </v:textbox>
              </v:rect>
              <v:rect id="_x0000_s1136" style="position:absolute;left:4194;top:409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37" style="position:absolute;left:4692;top:409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38" style="position:absolute;left:5255;top:4183;width:196;height:425;mso-wrap-style:none" filled="f" stroked="f">
                <v:textbox style="mso-fit-shape-to-text:t" inset="0,0,0,0">
                  <w:txbxContent>
                    <w:p w:rsidR="00FF1E7B" w:rsidRDefault="00FF1E7B">
                      <w:r>
                        <w:rPr>
                          <w:rFonts w:ascii="Calibri" w:hAnsi="Calibri" w:cs="Calibri"/>
                          <w:color w:val="000000"/>
                          <w:sz w:val="16"/>
                          <w:szCs w:val="16"/>
                          <w:lang w:val="en-US"/>
                        </w:rPr>
                        <w:t>6%</w:t>
                      </w:r>
                    </w:p>
                  </w:txbxContent>
                </v:textbox>
              </v:rect>
              <v:rect id="_x0000_s1139" style="position:absolute;left:5688;top:409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40" style="position:absolute;left:6186;top:409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41" style="position:absolute;left:6685;top:4096;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42" style="position:absolute;left:35;top:4406;width:2052;height:425;mso-wrap-style:none" filled="f" stroked="f">
                <v:textbox style="mso-fit-shape-to-text:t" inset="0,0,0,0">
                  <w:txbxContent>
                    <w:p w:rsidR="00FF1E7B" w:rsidRDefault="00FF1E7B">
                      <w:r>
                        <w:rPr>
                          <w:rFonts w:ascii="Calibri" w:hAnsi="Calibri" w:cs="Calibri"/>
                          <w:color w:val="000000"/>
                          <w:sz w:val="16"/>
                          <w:szCs w:val="16"/>
                          <w:lang w:val="en-US"/>
                        </w:rPr>
                        <w:t>Got into trouble with the police</w:t>
                      </w:r>
                    </w:p>
                  </w:txbxContent>
                </v:textbox>
              </v:rect>
              <v:rect id="_x0000_s1143" style="position:absolute;left:2765;top:4406;width:196;height:425;mso-wrap-style:none" filled="f" stroked="f">
                <v:textbox style="mso-fit-shape-to-text:t" inset="0,0,0,0">
                  <w:txbxContent>
                    <w:p w:rsidR="00FF1E7B" w:rsidRDefault="00FF1E7B">
                      <w:r>
                        <w:rPr>
                          <w:rFonts w:ascii="Calibri" w:hAnsi="Calibri" w:cs="Calibri"/>
                          <w:color w:val="000000"/>
                          <w:sz w:val="16"/>
                          <w:szCs w:val="16"/>
                          <w:lang w:val="en-US"/>
                        </w:rPr>
                        <w:t>9%</w:t>
                      </w:r>
                    </w:p>
                  </w:txbxContent>
                </v:textbox>
              </v:rect>
              <v:rect id="_x0000_s1144" style="position:absolute;left:3263;top:4406;width:196;height:425;mso-wrap-style:none" filled="f" stroked="f">
                <v:textbox style="mso-fit-shape-to-text:t" inset="0,0,0,0">
                  <w:txbxContent>
                    <w:p w:rsidR="00FF1E7B" w:rsidRDefault="00FF1E7B">
                      <w:r>
                        <w:rPr>
                          <w:rFonts w:ascii="Calibri" w:hAnsi="Calibri" w:cs="Calibri"/>
                          <w:color w:val="000000"/>
                          <w:sz w:val="16"/>
                          <w:szCs w:val="16"/>
                          <w:lang w:val="en-US"/>
                        </w:rPr>
                        <w:t>5%</w:t>
                      </w:r>
                    </w:p>
                  </w:txbxContent>
                </v:textbox>
              </v:rect>
              <v:rect id="_x0000_s1145" style="position:absolute;left:3696;top:4403;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46" style="position:absolute;left:4259;top:4406;width:196;height:425;mso-wrap-style:none" filled="f" stroked="f">
                <v:textbox style="mso-fit-shape-to-text:t" inset="0,0,0,0">
                  <w:txbxContent>
                    <w:p w:rsidR="00FF1E7B" w:rsidRDefault="00FF1E7B">
                      <w:r>
                        <w:rPr>
                          <w:rFonts w:ascii="Calibri" w:hAnsi="Calibri" w:cs="Calibri"/>
                          <w:color w:val="000000"/>
                          <w:sz w:val="16"/>
                          <w:szCs w:val="16"/>
                          <w:lang w:val="en-US"/>
                        </w:rPr>
                        <w:t>9%</w:t>
                      </w:r>
                    </w:p>
                  </w:txbxContent>
                </v:textbox>
              </v:rect>
              <v:rect id="_x0000_s1147" style="position:absolute;left:4757;top:4406;width:196;height:425;mso-wrap-style:none" filled="f" stroked="f">
                <v:textbox style="mso-fit-shape-to-text:t" inset="0,0,0,0">
                  <w:txbxContent>
                    <w:p w:rsidR="00FF1E7B" w:rsidRDefault="00FF1E7B">
                      <w:r>
                        <w:rPr>
                          <w:rFonts w:ascii="Calibri" w:hAnsi="Calibri" w:cs="Calibri"/>
                          <w:color w:val="000000"/>
                          <w:sz w:val="16"/>
                          <w:szCs w:val="16"/>
                          <w:lang w:val="en-US"/>
                        </w:rPr>
                        <w:t>9%</w:t>
                      </w:r>
                    </w:p>
                  </w:txbxContent>
                </v:textbox>
              </v:rect>
              <v:rect id="_x0000_s1148" style="position:absolute;left:5190;top:4403;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49" style="position:absolute;left:5688;top:4403;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50" style="position:absolute;left:6186;top:4403;width:80;height:425;mso-wrap-style:none" filled="f" stroked="f">
                <v:textbox style="mso-fit-shape-to-text:t" inset="0,0,0,0">
                  <w:txbxContent>
                    <w:p w:rsidR="00FF1E7B" w:rsidRDefault="00FF1E7B">
                      <w:r>
                        <w:rPr>
                          <w:rFonts w:ascii="Calibri" w:hAnsi="Calibri" w:cs="Calibri"/>
                          <w:color w:val="000000"/>
                          <w:sz w:val="16"/>
                          <w:szCs w:val="16"/>
                          <w:lang w:val="en-US"/>
                        </w:rPr>
                        <w:t>–</w:t>
                      </w:r>
                    </w:p>
                  </w:txbxContent>
                </v:textbox>
              </v:rect>
              <v:rect id="_x0000_s1151" style="position:absolute;left:6672;top:4406;width:277;height:425;mso-wrap-style:none" filled="f" stroked="f">
                <v:textbox style="mso-fit-shape-to-text:t" inset="0,0,0,0">
                  <w:txbxContent>
                    <w:p w:rsidR="00FF1E7B" w:rsidRDefault="00FF1E7B">
                      <w:r>
                        <w:rPr>
                          <w:rFonts w:ascii="Calibri" w:hAnsi="Calibri" w:cs="Calibri"/>
                          <w:color w:val="000000"/>
                          <w:sz w:val="16"/>
                          <w:szCs w:val="16"/>
                          <w:lang w:val="en-US"/>
                        </w:rPr>
                        <w:t>30%</w:t>
                      </w:r>
                    </w:p>
                  </w:txbxContent>
                </v:textbox>
              </v:rect>
              <v:rect id="_x0000_s1152" style="position:absolute;left:35;top:4623;width:2858;height:425;mso-wrap-style:none" filled="f" stroked="f">
                <v:textbox style="mso-fit-shape-to-text:t" inset="0,0,0,0">
                  <w:txbxContent>
                    <w:p w:rsidR="00FF1E7B" w:rsidRDefault="00FF1E7B">
                      <w:r>
                        <w:rPr>
                          <w:rFonts w:ascii="Calibri" w:hAnsi="Calibri" w:cs="Calibri"/>
                          <w:color w:val="000000"/>
                          <w:sz w:val="16"/>
                          <w:szCs w:val="16"/>
                          <w:lang w:val="en-US"/>
                        </w:rPr>
                        <w:t xml:space="preserve">1. From Smith, Stewart, et </w:t>
                      </w:r>
                      <w:proofErr w:type="spellStart"/>
                      <w:r>
                        <w:rPr>
                          <w:rFonts w:ascii="Calibri" w:hAnsi="Calibri" w:cs="Calibri"/>
                          <w:color w:val="000000"/>
                          <w:sz w:val="16"/>
                          <w:szCs w:val="16"/>
                          <w:lang w:val="en-US"/>
                        </w:rPr>
                        <w:t>al's</w:t>
                      </w:r>
                      <w:proofErr w:type="spellEnd"/>
                      <w:r>
                        <w:rPr>
                          <w:rFonts w:ascii="Calibri" w:hAnsi="Calibri" w:cs="Calibri"/>
                          <w:color w:val="000000"/>
                          <w:sz w:val="16"/>
                          <w:szCs w:val="16"/>
                          <w:lang w:val="en-US"/>
                        </w:rPr>
                        <w:t xml:space="preserve"> (2014) report </w:t>
                      </w:r>
                    </w:p>
                  </w:txbxContent>
                </v:textbox>
              </v:rect>
              <v:rect id="_x0000_s1153" style="position:absolute;left:2853;top:4623;width:6235;height:425;mso-wrap-style:none" filled="f" stroked="f">
                <v:textbox style="mso-fit-shape-to-text:t" inset="0,0,0,0">
                  <w:txbxContent>
                    <w:p w:rsidR="00FF1E7B" w:rsidRDefault="00FF1E7B">
                      <w:r>
                        <w:rPr>
                          <w:rFonts w:ascii="Calibri" w:hAnsi="Calibri" w:cs="Calibri"/>
                          <w:i/>
                          <w:iCs/>
                          <w:color w:val="000000"/>
                          <w:sz w:val="16"/>
                          <w:szCs w:val="16"/>
                          <w:lang w:val="en-US"/>
                        </w:rPr>
                        <w:t xml:space="preserve">From Hastings Street to </w:t>
                      </w:r>
                      <w:proofErr w:type="spellStart"/>
                      <w:r>
                        <w:rPr>
                          <w:rFonts w:ascii="Calibri" w:hAnsi="Calibri" w:cs="Calibri"/>
                          <w:i/>
                          <w:iCs/>
                          <w:color w:val="000000"/>
                          <w:sz w:val="16"/>
                          <w:szCs w:val="16"/>
                          <w:lang w:val="en-US"/>
                        </w:rPr>
                        <w:t>Haida</w:t>
                      </w:r>
                      <w:proofErr w:type="spellEnd"/>
                      <w:r>
                        <w:rPr>
                          <w:rFonts w:ascii="Calibri" w:hAnsi="Calibri" w:cs="Calibri"/>
                          <w:i/>
                          <w:iCs/>
                          <w:color w:val="000000"/>
                          <w:sz w:val="16"/>
                          <w:szCs w:val="16"/>
                          <w:lang w:val="en-US"/>
                        </w:rPr>
                        <w:t xml:space="preserve"> </w:t>
                      </w:r>
                      <w:proofErr w:type="spellStart"/>
                      <w:r>
                        <w:rPr>
                          <w:rFonts w:ascii="Calibri" w:hAnsi="Calibri" w:cs="Calibri"/>
                          <w:i/>
                          <w:iCs/>
                          <w:color w:val="000000"/>
                          <w:sz w:val="16"/>
                          <w:szCs w:val="16"/>
                          <w:lang w:val="en-US"/>
                        </w:rPr>
                        <w:t>Gwaii</w:t>
                      </w:r>
                      <w:proofErr w:type="spellEnd"/>
                      <w:r>
                        <w:rPr>
                          <w:rFonts w:ascii="Calibri" w:hAnsi="Calibri" w:cs="Calibri"/>
                          <w:i/>
                          <w:iCs/>
                          <w:color w:val="000000"/>
                          <w:sz w:val="16"/>
                          <w:szCs w:val="16"/>
                          <w:lang w:val="en-US"/>
                        </w:rPr>
                        <w:t>: Provincial results of the 2013 BC Adolescent Health Survey.</w:t>
                      </w:r>
                    </w:p>
                  </w:txbxContent>
                </v:textbox>
              </v:rect>
              <v:rect id="_x0000_s1154" style="position:absolute;left:35;top:4846;width:2858;height:425;mso-wrap-style:none" filled="f" stroked="f">
                <v:textbox style="mso-fit-shape-to-text:t" inset="0,0,0,0">
                  <w:txbxContent>
                    <w:p w:rsidR="00FF1E7B" w:rsidRDefault="00FF1E7B">
                      <w:r>
                        <w:rPr>
                          <w:rFonts w:ascii="Calibri" w:hAnsi="Calibri" w:cs="Calibri"/>
                          <w:color w:val="000000"/>
                          <w:sz w:val="16"/>
                          <w:szCs w:val="16"/>
                          <w:lang w:val="en-US"/>
                        </w:rPr>
                        <w:t xml:space="preserve">2. From </w:t>
                      </w:r>
                      <w:proofErr w:type="spellStart"/>
                      <w:r>
                        <w:rPr>
                          <w:rFonts w:ascii="Calibri" w:hAnsi="Calibri" w:cs="Calibri"/>
                          <w:color w:val="000000"/>
                          <w:sz w:val="16"/>
                          <w:szCs w:val="16"/>
                          <w:lang w:val="en-US"/>
                        </w:rPr>
                        <w:t>Tourand</w:t>
                      </w:r>
                      <w:proofErr w:type="spellEnd"/>
                      <w:r>
                        <w:rPr>
                          <w:rFonts w:ascii="Calibri" w:hAnsi="Calibri" w:cs="Calibri"/>
                          <w:color w:val="000000"/>
                          <w:sz w:val="16"/>
                          <w:szCs w:val="16"/>
                          <w:lang w:val="en-US"/>
                        </w:rPr>
                        <w:t xml:space="preserve">, Smith et </w:t>
                      </w:r>
                      <w:proofErr w:type="spellStart"/>
                      <w:r>
                        <w:rPr>
                          <w:rFonts w:ascii="Calibri" w:hAnsi="Calibri" w:cs="Calibri"/>
                          <w:color w:val="000000"/>
                          <w:sz w:val="16"/>
                          <w:szCs w:val="16"/>
                          <w:lang w:val="en-US"/>
                        </w:rPr>
                        <w:t>al's</w:t>
                      </w:r>
                      <w:proofErr w:type="spellEnd"/>
                      <w:r>
                        <w:rPr>
                          <w:rFonts w:ascii="Calibri" w:hAnsi="Calibri" w:cs="Calibri"/>
                          <w:color w:val="000000"/>
                          <w:sz w:val="16"/>
                          <w:szCs w:val="16"/>
                          <w:lang w:val="en-US"/>
                        </w:rPr>
                        <w:t xml:space="preserve"> (2016) report </w:t>
                      </w:r>
                    </w:p>
                  </w:txbxContent>
                </v:textbox>
              </v:rect>
              <v:rect id="_x0000_s1155" style="position:absolute;left:2820;top:4846;width:3243;height:425;mso-wrap-style:none" filled="f" stroked="f">
                <v:textbox style="mso-fit-shape-to-text:t" inset="0,0,0,0">
                  <w:txbxContent>
                    <w:p w:rsidR="00FF1E7B" w:rsidRDefault="00FF1E7B">
                      <w:r>
                        <w:rPr>
                          <w:rFonts w:ascii="Calibri" w:hAnsi="Calibri" w:cs="Calibri"/>
                          <w:i/>
                          <w:iCs/>
                          <w:color w:val="000000"/>
                          <w:sz w:val="16"/>
                          <w:szCs w:val="16"/>
                          <w:lang w:val="en-US"/>
                        </w:rPr>
                        <w:t>Raven's Children IV: Aboriginal youth health in BC.</w:t>
                      </w:r>
                    </w:p>
                  </w:txbxContent>
                </v:textbox>
              </v:rect>
              <v:rect id="_x0000_s1156" style="position:absolute;left:35;top:5070;width:2858;height:425;mso-wrap-style:none" filled="f" stroked="f">
                <v:textbox style="mso-fit-shape-to-text:t" inset="0,0,0,0">
                  <w:txbxContent>
                    <w:p w:rsidR="00FF1E7B" w:rsidRDefault="00FF1E7B">
                      <w:r>
                        <w:rPr>
                          <w:rFonts w:ascii="Calibri" w:hAnsi="Calibri" w:cs="Calibri"/>
                          <w:color w:val="000000"/>
                          <w:sz w:val="16"/>
                          <w:szCs w:val="16"/>
                          <w:lang w:val="en-US"/>
                        </w:rPr>
                        <w:t xml:space="preserve">3. From Smith, Stewart, et </w:t>
                      </w:r>
                      <w:proofErr w:type="spellStart"/>
                      <w:r>
                        <w:rPr>
                          <w:rFonts w:ascii="Calibri" w:hAnsi="Calibri" w:cs="Calibri"/>
                          <w:color w:val="000000"/>
                          <w:sz w:val="16"/>
                          <w:szCs w:val="16"/>
                          <w:lang w:val="en-US"/>
                        </w:rPr>
                        <w:t>al's</w:t>
                      </w:r>
                      <w:proofErr w:type="spellEnd"/>
                      <w:r>
                        <w:rPr>
                          <w:rFonts w:ascii="Calibri" w:hAnsi="Calibri" w:cs="Calibri"/>
                          <w:color w:val="000000"/>
                          <w:sz w:val="16"/>
                          <w:szCs w:val="16"/>
                          <w:lang w:val="en-US"/>
                        </w:rPr>
                        <w:t xml:space="preserve"> (2015) report </w:t>
                      </w:r>
                    </w:p>
                  </w:txbxContent>
                </v:textbox>
              </v:rect>
              <v:rect id="_x0000_s1157" style="position:absolute;left:2818;top:5070;width:5149;height:425;mso-wrap-style:none" filled="f" stroked="f">
                <v:textbox style="mso-fit-shape-to-text:t" inset="0,0,0,0">
                  <w:txbxContent>
                    <w:p w:rsidR="00FF1E7B" w:rsidRDefault="00FF1E7B">
                      <w:r>
                        <w:rPr>
                          <w:rFonts w:ascii="Calibri" w:hAnsi="Calibri" w:cs="Calibri"/>
                          <w:i/>
                          <w:iCs/>
                          <w:color w:val="000000"/>
                          <w:sz w:val="16"/>
                          <w:szCs w:val="16"/>
                          <w:lang w:val="en-US"/>
                        </w:rPr>
                        <w:t>Our communities, Our Youth: The health of homeless and street-involved youth.</w:t>
                      </w:r>
                    </w:p>
                  </w:txbxContent>
                </v:textbox>
              </v:rect>
              <v:rect id="_x0000_s1158" style="position:absolute;left:35;top:5301;width:6536;height:425;mso-wrap-style:none" filled="f" stroked="f">
                <v:textbox style="mso-fit-shape-to-text:t" inset="0,0,0,0">
                  <w:txbxContent>
                    <w:p w:rsidR="00FF1E7B" w:rsidRDefault="00FF1E7B">
                      <w:r>
                        <w:rPr>
                          <w:rFonts w:ascii="Calibri" w:hAnsi="Calibri" w:cs="Calibri"/>
                          <w:color w:val="000000"/>
                          <w:sz w:val="16"/>
                          <w:szCs w:val="16"/>
                          <w:lang w:val="en-US"/>
                        </w:rPr>
                        <w:t>– Data not reported (Note: Data reported inconsistently across surveys by sex and total or total only.</w:t>
                      </w:r>
                    </w:p>
                  </w:txbxContent>
                </v:textbox>
              </v:rect>
              <v:rect id="_x0000_s1159" style="position:absolute;left:35;top:5524;width:6267;height:425;mso-wrap-style:none" filled="f" stroked="f">
                <v:textbox style="mso-fit-shape-to-text:t" inset="0,0,0,0">
                  <w:txbxContent>
                    <w:p w:rsidR="00FF1E7B" w:rsidRDefault="00FF1E7B">
                      <w:r>
                        <w:rPr>
                          <w:rFonts w:ascii="Calibri" w:hAnsi="Calibri" w:cs="Calibri"/>
                          <w:color w:val="000000"/>
                          <w:sz w:val="16"/>
                          <w:szCs w:val="16"/>
                          <w:lang w:val="en-US"/>
                        </w:rPr>
                        <w:t xml:space="preserve">Also not all survey cohorts were asked the same questions. For example, Incarcerated youth and </w:t>
                      </w:r>
                    </w:p>
                  </w:txbxContent>
                </v:textbox>
              </v:rect>
              <v:rect id="_x0000_s1160" style="position:absolute;left:35;top:5748;width:9167;height:425;mso-wrap-style:none" filled="f" stroked="f">
                <v:textbox style="mso-fit-shape-to-text:t" inset="0,0,0,0">
                  <w:txbxContent>
                    <w:p w:rsidR="00FF1E7B" w:rsidRDefault="00FF1E7B">
                      <w:proofErr w:type="gramStart"/>
                      <w:r>
                        <w:rPr>
                          <w:rFonts w:ascii="Calibri" w:hAnsi="Calibri" w:cs="Calibri"/>
                          <w:color w:val="000000"/>
                          <w:sz w:val="16"/>
                          <w:szCs w:val="16"/>
                          <w:lang w:val="en-US"/>
                        </w:rPr>
                        <w:t>youth</w:t>
                      </w:r>
                      <w:proofErr w:type="gramEnd"/>
                      <w:r>
                        <w:rPr>
                          <w:rFonts w:ascii="Calibri" w:hAnsi="Calibri" w:cs="Calibri"/>
                          <w:color w:val="000000"/>
                          <w:sz w:val="16"/>
                          <w:szCs w:val="16"/>
                          <w:lang w:val="en-US"/>
                        </w:rPr>
                        <w:t xml:space="preserve"> with MH and/or SU disorders were  not asked about their reasons for using substances or negative consequences of using substances.)</w:t>
                      </w:r>
                    </w:p>
                  </w:txbxContent>
                </v:textbox>
              </v:rect>
              <v:rect id="_x0000_s1161" style="position:absolute;left:35;top:5971;width:2945;height:425;mso-wrap-style:none" filled="f" stroked="f">
                <v:textbox style="mso-fit-shape-to-text:t" inset="0,0,0,0">
                  <w:txbxContent>
                    <w:p w:rsidR="00FF1E7B" w:rsidRDefault="00FF1E7B">
                      <w:r>
                        <w:rPr>
                          <w:rFonts w:ascii="Calibri" w:hAnsi="Calibri" w:cs="Calibri"/>
                          <w:color w:val="000000"/>
                          <w:sz w:val="16"/>
                          <w:szCs w:val="16"/>
                          <w:lang w:val="en-US"/>
                        </w:rPr>
                        <w:t>N/A question not asked of this survey cohort.</w:t>
                      </w:r>
                    </w:p>
                  </w:txbxContent>
                </v:textbox>
              </v:rect>
              <v:rect id="_x0000_s1162" style="position:absolute;left:2824;top:514;width:845;height:425;mso-wrap-style:none" filled="f" stroked="f">
                <v:textbox style="mso-fit-shape-to-text:t" inset="0,0,0,0">
                  <w:txbxContent>
                    <w:p w:rsidR="00FF1E7B" w:rsidRDefault="00FF1E7B">
                      <w:r>
                        <w:rPr>
                          <w:rFonts w:ascii="Calibri" w:hAnsi="Calibri" w:cs="Calibri"/>
                          <w:b/>
                          <w:bCs/>
                          <w:color w:val="000000"/>
                          <w:sz w:val="16"/>
                          <w:szCs w:val="16"/>
                          <w:lang w:val="en-US"/>
                        </w:rPr>
                        <w:t xml:space="preserve">2013 BC AHS </w:t>
                      </w:r>
                    </w:p>
                  </w:txbxContent>
                </v:textbox>
              </v:rect>
              <v:rect id="_x0000_s1163" style="position:absolute;left:2848;top:715;width:793;height:425;mso-wrap-style:none" filled="f" stroked="f">
                <v:textbox style="mso-fit-shape-to-text:t" inset="0,0,0,0">
                  <w:txbxContent>
                    <w:p w:rsidR="00FF1E7B" w:rsidRDefault="00FF1E7B">
                      <w:r>
                        <w:rPr>
                          <w:rFonts w:ascii="Calibri" w:hAnsi="Calibri" w:cs="Calibri"/>
                          <w:b/>
                          <w:bCs/>
                          <w:color w:val="000000"/>
                          <w:sz w:val="16"/>
                          <w:szCs w:val="16"/>
                          <w:lang w:val="en-US"/>
                        </w:rPr>
                        <w:t xml:space="preserve">Participants </w:t>
                      </w:r>
                    </w:p>
                  </w:txbxContent>
                </v:textbox>
              </v:rect>
              <v:rect id="_x0000_s1164" style="position:absolute;left:2846;top:942;width:156;height:425;mso-wrap-style:none" filled="f" stroked="f">
                <v:textbox style="mso-fit-shape-to-text:t" inset="0,0,0,0">
                  <w:txbxContent>
                    <w:p w:rsidR="00FF1E7B" w:rsidRDefault="00FF1E7B">
                      <w:r>
                        <w:rPr>
                          <w:rFonts w:ascii="Calibri" w:hAnsi="Calibri" w:cs="Calibri"/>
                          <w:b/>
                          <w:bCs/>
                          <w:color w:val="000000"/>
                          <w:sz w:val="16"/>
                          <w:szCs w:val="16"/>
                          <w:lang w:val="en-US"/>
                        </w:rPr>
                        <w:t>(N</w:t>
                      </w:r>
                    </w:p>
                  </w:txbxContent>
                </v:textbox>
              </v:rect>
              <v:rect id="_x0000_s1165" style="position:absolute;left:2996;top:935;width:88;height:425;mso-wrap-style:none" filled="f" stroked="f">
                <v:textbox style="mso-fit-shape-to-text:t" inset="0,0,0,0">
                  <w:txbxContent>
                    <w:p w:rsidR="00FF1E7B" w:rsidRDefault="00FF1E7B">
                      <w:r>
                        <w:rPr>
                          <w:rFonts w:ascii="Symbol" w:hAnsi="Symbol" w:cs="Symbol"/>
                          <w:b/>
                          <w:bCs/>
                          <w:color w:val="000000"/>
                          <w:sz w:val="16"/>
                          <w:szCs w:val="16"/>
                          <w:lang w:val="en-US"/>
                        </w:rPr>
                        <w:t></w:t>
                      </w:r>
                    </w:p>
                  </w:txbxContent>
                </v:textbox>
              </v:rect>
              <v:rect id="_x0000_s1166" style="position:absolute;left:3085;top:942;width:497;height:425;mso-wrap-style:none" filled="f" stroked="f">
                <v:textbox style="mso-fit-shape-to-text:t" inset="0,0,0,0">
                  <w:txbxContent>
                    <w:p w:rsidR="00FF1E7B" w:rsidRDefault="00FF1E7B">
                      <w:r>
                        <w:rPr>
                          <w:rFonts w:ascii="Calibri" w:hAnsi="Calibri" w:cs="Calibri"/>
                          <w:b/>
                          <w:bCs/>
                          <w:color w:val="000000"/>
                          <w:sz w:val="16"/>
                          <w:szCs w:val="16"/>
                          <w:lang w:val="en-US"/>
                        </w:rPr>
                        <w:t>30,000)</w:t>
                      </w:r>
                    </w:p>
                  </w:txbxContent>
                </v:textbox>
              </v:rect>
              <v:rect id="_x0000_s1167" style="position:absolute;left:3561;top:916;width:51;height:340;mso-wrap-style:none" filled="f" stroked="f">
                <v:textbox style="mso-fit-shape-to-text:t" inset="0,0,0,0">
                  <w:txbxContent>
                    <w:p w:rsidR="00FF1E7B" w:rsidRDefault="00FF1E7B">
                      <w:r>
                        <w:rPr>
                          <w:rFonts w:ascii="Calibri" w:hAnsi="Calibri" w:cs="Calibri"/>
                          <w:b/>
                          <w:bCs/>
                          <w:color w:val="000000"/>
                          <w:sz w:val="10"/>
                          <w:szCs w:val="10"/>
                          <w:lang w:val="en-US"/>
                        </w:rPr>
                        <w:t>1</w:t>
                      </w:r>
                    </w:p>
                  </w:txbxContent>
                </v:textbox>
              </v:rect>
              <v:rect id="_x0000_s1168" style="position:absolute;left:4318;top:412;width:845;height:425;mso-wrap-style:none" filled="f" stroked="f">
                <v:textbox style="mso-fit-shape-to-text:t" inset="0,0,0,0">
                  <w:txbxContent>
                    <w:p w:rsidR="00FF1E7B" w:rsidRDefault="00FF1E7B">
                      <w:r>
                        <w:rPr>
                          <w:rFonts w:ascii="Calibri" w:hAnsi="Calibri" w:cs="Calibri"/>
                          <w:b/>
                          <w:bCs/>
                          <w:color w:val="000000"/>
                          <w:sz w:val="16"/>
                          <w:szCs w:val="16"/>
                          <w:lang w:val="en-US"/>
                        </w:rPr>
                        <w:t xml:space="preserve">2013 BC AHS </w:t>
                      </w:r>
                    </w:p>
                  </w:txbxContent>
                </v:textbox>
              </v:rect>
              <v:rect id="_x0000_s1169" style="position:absolute;left:4396;top:613;width:685;height:425;mso-wrap-style:none" filled="f" stroked="f">
                <v:textbox style="mso-fit-shape-to-text:t" inset="0,0,0,0">
                  <w:txbxContent>
                    <w:p w:rsidR="00FF1E7B" w:rsidRDefault="00FF1E7B">
                      <w:r>
                        <w:rPr>
                          <w:rFonts w:ascii="Calibri" w:hAnsi="Calibri" w:cs="Calibri"/>
                          <w:b/>
                          <w:bCs/>
                          <w:color w:val="000000"/>
                          <w:sz w:val="16"/>
                          <w:szCs w:val="16"/>
                          <w:lang w:val="en-US"/>
                        </w:rPr>
                        <w:t xml:space="preserve">Aboriginal </w:t>
                      </w:r>
                    </w:p>
                  </w:txbxContent>
                </v:textbox>
              </v:rect>
              <v:rect id="_x0000_s1170" style="position:absolute;left:4342;top:815;width:793;height:425;mso-wrap-style:none" filled="f" stroked="f">
                <v:textbox style="mso-fit-shape-to-text:t" inset="0,0,0,0">
                  <w:txbxContent>
                    <w:p w:rsidR="00FF1E7B" w:rsidRDefault="00FF1E7B">
                      <w:r>
                        <w:rPr>
                          <w:rFonts w:ascii="Calibri" w:hAnsi="Calibri" w:cs="Calibri"/>
                          <w:b/>
                          <w:bCs/>
                          <w:color w:val="000000"/>
                          <w:sz w:val="16"/>
                          <w:szCs w:val="16"/>
                          <w:lang w:val="en-US"/>
                        </w:rPr>
                        <w:t xml:space="preserve">Participants </w:t>
                      </w:r>
                    </w:p>
                  </w:txbxContent>
                </v:textbox>
              </v:rect>
              <v:rect id="_x0000_s1171" style="position:absolute;left:4379;top:1042;width:156;height:425;mso-wrap-style:none" filled="f" stroked="f">
                <v:textbox style="mso-fit-shape-to-text:t" inset="0,0,0,0">
                  <w:txbxContent>
                    <w:p w:rsidR="00FF1E7B" w:rsidRDefault="00FF1E7B">
                      <w:r>
                        <w:rPr>
                          <w:rFonts w:ascii="Calibri" w:hAnsi="Calibri" w:cs="Calibri"/>
                          <w:b/>
                          <w:bCs/>
                          <w:color w:val="000000"/>
                          <w:sz w:val="16"/>
                          <w:szCs w:val="16"/>
                          <w:lang w:val="en-US"/>
                        </w:rPr>
                        <w:t>(N</w:t>
                      </w:r>
                    </w:p>
                  </w:txbxContent>
                </v:textbox>
              </v:rect>
              <v:rect id="_x0000_s1172" style="position:absolute;left:4529;top:1035;width:88;height:425;mso-wrap-style:none" filled="f" stroked="f">
                <v:textbox style="mso-fit-shape-to-text:t" inset="0,0,0,0">
                  <w:txbxContent>
                    <w:p w:rsidR="00FF1E7B" w:rsidRDefault="00FF1E7B">
                      <w:r>
                        <w:rPr>
                          <w:rFonts w:ascii="Symbol" w:hAnsi="Symbol" w:cs="Symbol"/>
                          <w:b/>
                          <w:bCs/>
                          <w:color w:val="000000"/>
                          <w:sz w:val="16"/>
                          <w:szCs w:val="16"/>
                          <w:lang w:val="en-US"/>
                        </w:rPr>
                        <w:t></w:t>
                      </w:r>
                    </w:p>
                  </w:txbxContent>
                </v:textbox>
              </v:rect>
              <v:rect id="_x0000_s1173" style="position:absolute;left:4618;top:1042;width:416;height:425;mso-wrap-style:none" filled="f" stroked="f">
                <v:textbox style="mso-fit-shape-to-text:t" inset="0,0,0,0">
                  <w:txbxContent>
                    <w:p w:rsidR="00FF1E7B" w:rsidRDefault="00FF1E7B">
                      <w:r>
                        <w:rPr>
                          <w:rFonts w:ascii="Calibri" w:hAnsi="Calibri" w:cs="Calibri"/>
                          <w:b/>
                          <w:bCs/>
                          <w:color w:val="000000"/>
                          <w:sz w:val="16"/>
                          <w:szCs w:val="16"/>
                          <w:lang w:val="en-US"/>
                        </w:rPr>
                        <w:t>3,000)</w:t>
                      </w:r>
                    </w:p>
                  </w:txbxContent>
                </v:textbox>
              </v:rect>
              <v:rect id="_x0000_s1174" style="position:absolute;left:5016;top:1016;width:51;height:340;mso-wrap-style:none" filled="f" stroked="f">
                <v:textbox style="mso-fit-shape-to-text:t" inset="0,0,0,0">
                  <w:txbxContent>
                    <w:p w:rsidR="00FF1E7B" w:rsidRDefault="00FF1E7B">
                      <w:r>
                        <w:rPr>
                          <w:rFonts w:ascii="Calibri" w:hAnsi="Calibri" w:cs="Calibri"/>
                          <w:b/>
                          <w:bCs/>
                          <w:color w:val="000000"/>
                          <w:sz w:val="10"/>
                          <w:szCs w:val="10"/>
                          <w:lang w:val="en-US"/>
                        </w:rPr>
                        <w:t>2</w:t>
                      </w:r>
                    </w:p>
                  </w:txbxContent>
                </v:textbox>
              </v:rect>
              <v:rect id="_x0000_s1175" style="position:absolute;left:5664;top:412;width:1155;height:425;mso-wrap-style:none" filled="f" stroked="f">
                <v:textbox style="mso-fit-shape-to-text:t" inset="0,0,0,0">
                  <w:txbxContent>
                    <w:p w:rsidR="00FF1E7B" w:rsidRDefault="00FF1E7B">
                      <w:r>
                        <w:rPr>
                          <w:rFonts w:ascii="Calibri" w:hAnsi="Calibri" w:cs="Calibri"/>
                          <w:b/>
                          <w:bCs/>
                          <w:color w:val="000000"/>
                          <w:sz w:val="16"/>
                          <w:szCs w:val="16"/>
                          <w:lang w:val="en-US"/>
                        </w:rPr>
                        <w:t xml:space="preserve">2014 Homeless &amp; </w:t>
                      </w:r>
                    </w:p>
                  </w:txbxContent>
                </v:textbox>
              </v:rect>
              <v:rect id="_x0000_s1176" style="position:absolute;left:5518;top:613;width:1455;height:425;mso-wrap-style:none" filled="f" stroked="f">
                <v:textbox style="mso-fit-shape-to-text:t" inset="0,0,0,0">
                  <w:txbxContent>
                    <w:p w:rsidR="00FF1E7B" w:rsidRDefault="00FF1E7B">
                      <w:r>
                        <w:rPr>
                          <w:rFonts w:ascii="Calibri" w:hAnsi="Calibri" w:cs="Calibri"/>
                          <w:b/>
                          <w:bCs/>
                          <w:color w:val="000000"/>
                          <w:sz w:val="16"/>
                          <w:szCs w:val="16"/>
                          <w:lang w:val="en-US"/>
                        </w:rPr>
                        <w:t xml:space="preserve">Street-involved Youth  </w:t>
                      </w:r>
                    </w:p>
                  </w:txbxContent>
                </v:textbox>
              </v:rect>
              <v:rect id="_x0000_s1177" style="position:absolute;left:6003;top:815;width:451;height:425;mso-wrap-style:none" filled="f" stroked="f">
                <v:textbox style="mso-fit-shape-to-text:t" inset="0,0,0,0">
                  <w:txbxContent>
                    <w:p w:rsidR="00FF1E7B" w:rsidRDefault="00FF1E7B">
                      <w:r>
                        <w:rPr>
                          <w:rFonts w:ascii="Calibri" w:hAnsi="Calibri" w:cs="Calibri"/>
                          <w:b/>
                          <w:bCs/>
                          <w:color w:val="000000"/>
                          <w:sz w:val="16"/>
                          <w:szCs w:val="16"/>
                          <w:lang w:val="en-US"/>
                        </w:rPr>
                        <w:t xml:space="preserve">Survey </w:t>
                      </w:r>
                    </w:p>
                  </w:txbxContent>
                </v:textbox>
              </v:rect>
              <v:rect id="_x0000_s1178" style="position:absolute;left:5559;top:1042;width:1321;height:425;mso-wrap-style:none" filled="f" stroked="f">
                <v:textbox style="mso-fit-shape-to-text:t" inset="0,0,0,0">
                  <w:txbxContent>
                    <w:p w:rsidR="00FF1E7B" w:rsidRDefault="00FF1E7B">
                      <w:proofErr w:type="gramStart"/>
                      <w:r>
                        <w:rPr>
                          <w:rFonts w:ascii="Calibri" w:hAnsi="Calibri" w:cs="Calibri"/>
                          <w:b/>
                          <w:bCs/>
                          <w:color w:val="000000"/>
                          <w:sz w:val="16"/>
                          <w:szCs w:val="16"/>
                          <w:lang w:val="en-US"/>
                        </w:rPr>
                        <w:t>Participants(</w:t>
                      </w:r>
                      <w:proofErr w:type="gramEnd"/>
                      <w:r>
                        <w:rPr>
                          <w:rFonts w:ascii="Calibri" w:hAnsi="Calibri" w:cs="Calibri"/>
                          <w:b/>
                          <w:bCs/>
                          <w:color w:val="000000"/>
                          <w:sz w:val="16"/>
                          <w:szCs w:val="16"/>
                          <w:lang w:val="en-US"/>
                        </w:rPr>
                        <w:t>N=681)</w:t>
                      </w:r>
                    </w:p>
                  </w:txbxContent>
                </v:textbox>
              </v:rect>
              <v:rect id="_x0000_s1179" style="position:absolute;left:6829;top:1016;width:51;height:340;mso-wrap-style:none" filled="f" stroked="f">
                <v:textbox style="mso-fit-shape-to-text:t" inset="0,0,0,0">
                  <w:txbxContent>
                    <w:p w:rsidR="00FF1E7B" w:rsidRDefault="00FF1E7B">
                      <w:r>
                        <w:rPr>
                          <w:rFonts w:ascii="Calibri" w:hAnsi="Calibri" w:cs="Calibri"/>
                          <w:b/>
                          <w:bCs/>
                          <w:color w:val="000000"/>
                          <w:sz w:val="10"/>
                          <w:szCs w:val="10"/>
                          <w:lang w:val="en-US"/>
                        </w:rPr>
                        <w:t>3</w:t>
                      </w:r>
                    </w:p>
                  </w:txbxContent>
                </v:textbox>
              </v:rect>
              <v:line id="_x0000_s1180" style="position:absolute" from="0,224" to="1,4615" strokeweight="0"/>
              <v:rect id="_x0000_s1181" style="position:absolute;top:224;width:15;height:4391" fillcolor="black" stroked="f"/>
              <v:line id="_x0000_s1182" style="position:absolute" from="2474,238" to="2475,4615" strokeweight="0"/>
              <v:rect id="_x0000_s1183" style="position:absolute;left:2474;top:238;width:15;height:4377" fillcolor="black" stroked="f"/>
              <v:line id="_x0000_s1184" style="position:absolute" from="3968,238" to="3969,4615" strokeweight="0"/>
              <v:rect id="_x0000_s1185" style="position:absolute;left:3968;top:238;width:15;height:4377" fillcolor="black" stroked="f"/>
              <v:line id="_x0000_s1186" style="position:absolute" from="5462,238" to="5463,4615" strokeweight="0"/>
              <v:rect id="_x0000_s1187" style="position:absolute;left:5462;top:238;width:15;height:4377" fillcolor="black" stroked="f"/>
              <v:line id="_x0000_s1188" style="position:absolute" from="6957,238" to="6958,4615" strokeweight="0"/>
              <v:rect id="_x0000_s1189" style="position:absolute;left:6957;top:238;width:15;height:4377" fillcolor="black" stroked="f"/>
              <v:line id="_x0000_s1190" style="position:absolute" from="2972,1434" to="2973,4615" strokeweight="0"/>
              <v:rect id="_x0000_s1191" style="position:absolute;left:2972;top:1434;width:15;height:3181" fillcolor="black" stroked="f"/>
              <v:line id="_x0000_s1192" style="position:absolute" from="3470,1434" to="3471,4615" strokeweight="0"/>
              <v:rect id="_x0000_s1193" style="position:absolute;left:3470;top:1434;width:15;height:3181" fillcolor="black" stroked="f"/>
              <v:line id="_x0000_s1194" style="position:absolute" from="4466,1434" to="4467,4615" strokeweight="0"/>
              <v:rect id="_x0000_s1195" style="position:absolute;left:4466;top:1434;width:15;height:3181" fillcolor="black" stroked="f"/>
              <v:line id="_x0000_s1196" style="position:absolute" from="4964,1434" to="4965,4615" strokeweight="0"/>
              <v:rect id="_x0000_s1197" style="position:absolute;left:4964;top:1434;width:15;height:3181" fillcolor="black" stroked="f"/>
              <v:line id="_x0000_s1198" style="position:absolute" from="5961,1434" to="5962,4615" strokeweight="0"/>
              <v:rect id="_x0000_s1199" style="position:absolute;left:5961;top:1434;width:14;height:3181" fillcolor="black" stroked="f"/>
              <v:line id="_x0000_s1200" style="position:absolute" from="6459,1434" to="6460,4615" strokeweight="0"/>
              <v:rect id="_x0000_s1201" style="position:absolute;left:6459;top:1434;width:14;height:3181" fillcolor="black" stroked="f"/>
              <v:line id="_x0000_s1202" style="position:absolute" from="15,224" to="6972,225" strokeweight="0"/>
              <v:rect id="_x0000_s1203" style="position:absolute;left:15;top:224;width:6957;height:14" fillcolor="black" stroked="f"/>
              <v:line id="_x0000_s1204" style="position:absolute" from="15,1419" to="6972,1420" strokeweight="0"/>
              <v:rect id="_x0000_s1205" style="position:absolute;left:15;top:1419;width:6957;height:15" fillcolor="black" stroked="f"/>
              <v:line id="_x0000_s1206" style="position:absolute" from="15,1642" to="6972,1643" strokeweight="0"/>
              <v:rect id="_x0000_s1207" style="position:absolute;left:15;top:1642;width:6957;height:15" fillcolor="black" stroked="f"/>
              <v:line id="_x0000_s1208" style="position:absolute" from="15,2032" to="6972,2033" strokeweight="0"/>
              <v:rect id="_x0000_s1209" style="position:absolute;left:15;top:2032;width:6957;height:15" fillcolor="black" stroked="f"/>
              <v:line id="_x0000_s1210" style="position:absolute" from="15,2256" to="6972,2257" strokeweight="0"/>
              <v:rect id="_x0000_s1211" style="position:absolute;left:15;top:2256;width:6957;height:15" fillcolor="black" stroked="f"/>
              <v:line id="_x0000_s1212" style="position:absolute" from="15,2479" to="6972,2480" strokeweight="0"/>
              <v:rect id="_x0000_s1213" style="position:absolute;left:15;top:2479;width:6957;height:15" fillcolor="black" stroked="f"/>
              <v:line id="_x0000_s1214" style="position:absolute" from="15,2703" to="6972,2704" strokeweight="0"/>
              <v:rect id="_x0000_s1215" style="position:absolute;left:15;top:2703;width:6957;height:15" fillcolor="black" stroked="f"/>
              <v:line id="_x0000_s1216" style="position:absolute" from="15,2927" to="6972,2928" strokeweight="0"/>
              <v:rect id="_x0000_s1217" style="position:absolute;left:15;top:2927;width:6957;height:14" fillcolor="black" stroked="f"/>
              <v:line id="_x0000_s1218" style="position:absolute" from="15,3150" to="6972,3151" strokeweight="0"/>
              <v:rect id="_x0000_s1219" style="position:absolute;left:15;top:3150;width:6957;height:15" fillcolor="black" stroked="f"/>
              <v:line id="_x0000_s1220" style="position:absolute" from="15,3374" to="6972,3375" strokeweight="0"/>
              <v:rect id="_x0000_s1221" style="position:absolute;left:15;top:3374;width:6957;height:14" fillcolor="black" stroked="f"/>
              <v:line id="_x0000_s1222" style="position:absolute" from="15,3597" to="6972,3598" strokeweight="0"/>
              <v:rect id="_x0000_s1223" style="position:absolute;left:15;top:3597;width:6957;height:15" fillcolor="black" stroked="f"/>
              <v:line id="_x0000_s1224" style="position:absolute" from="15,3987" to="6972,3988" strokeweight="0"/>
              <v:rect id="_x0000_s1225" style="position:absolute;left:15;top:3987;width:6957;height:15" fillcolor="black" stroked="f"/>
              <v:line id="_x0000_s1226" style="position:absolute" from="15,4377" to="6972,4378" strokeweight="0"/>
              <v:rect id="_x0000_s1227" style="position:absolute;left:15;top:4377;width:6957;height:15" fillcolor="black" stroked="f"/>
              <v:line id="_x0000_s1228" style="position:absolute" from="15,4600" to="6972,4601" strokeweight="0"/>
            </v:group>
            <v:rect id="_x0000_s1230" style="position:absolute;left:15;top:4600;width:6957;height:15" fillcolor="black" stroked="f"/>
            <w10:wrap type="none"/>
            <w10:anchorlock/>
          </v:group>
        </w:pict>
      </w:r>
    </w:p>
    <w:p w:rsidR="00B267DC" w:rsidRDefault="00B267DC" w:rsidP="00E43645">
      <w:pPr>
        <w:autoSpaceDE w:val="0"/>
        <w:autoSpaceDN w:val="0"/>
        <w:adjustRightInd w:val="0"/>
        <w:spacing w:after="0" w:line="240" w:lineRule="auto"/>
        <w:rPr>
          <w:rFonts w:cs="HelveticaNeueLTStd-Th"/>
        </w:rPr>
      </w:pPr>
    </w:p>
    <w:p w:rsidR="00B62609" w:rsidRPr="00B62609" w:rsidRDefault="00B62609" w:rsidP="00E43645">
      <w:pPr>
        <w:autoSpaceDE w:val="0"/>
        <w:autoSpaceDN w:val="0"/>
        <w:adjustRightInd w:val="0"/>
        <w:spacing w:after="0" w:line="240" w:lineRule="auto"/>
        <w:rPr>
          <w:rFonts w:cs="HelveticaNeueLTStd-Th"/>
          <w:b/>
        </w:rPr>
      </w:pPr>
      <w:r>
        <w:rPr>
          <w:rFonts w:cs="HelveticaNeueLTStd-Th"/>
          <w:b/>
        </w:rPr>
        <w:t xml:space="preserve">Prevalence of Criminal Justice Involvement </w:t>
      </w:r>
    </w:p>
    <w:p w:rsidR="00684F98" w:rsidRDefault="00E5105E" w:rsidP="00E43645">
      <w:pPr>
        <w:autoSpaceDE w:val="0"/>
        <w:autoSpaceDN w:val="0"/>
        <w:adjustRightInd w:val="0"/>
        <w:spacing w:after="0" w:line="240" w:lineRule="auto"/>
        <w:rPr>
          <w:rFonts w:cs="HelveticaNeueLTStd-Th"/>
        </w:rPr>
      </w:pPr>
      <w:r>
        <w:rPr>
          <w:rFonts w:cs="HelveticaNeueLTStd-Th"/>
        </w:rPr>
        <w:t xml:space="preserve">According to a </w:t>
      </w:r>
      <w:proofErr w:type="spellStart"/>
      <w:r>
        <w:rPr>
          <w:rFonts w:cs="HelveticaNeueLTStd-Th"/>
        </w:rPr>
        <w:t>Juristat</w:t>
      </w:r>
      <w:proofErr w:type="spellEnd"/>
      <w:r>
        <w:rPr>
          <w:rFonts w:cs="HelveticaNeueLTStd-Th"/>
        </w:rPr>
        <w:t xml:space="preserve"> report on youth crime in</w:t>
      </w:r>
      <w:r w:rsidR="0006587E">
        <w:rPr>
          <w:rFonts w:cs="HelveticaNeueLTStd-Th"/>
        </w:rPr>
        <w:t xml:space="preserve"> Canada in</w:t>
      </w:r>
      <w:r>
        <w:rPr>
          <w:rFonts w:cs="HelveticaNeueLTStd-Th"/>
        </w:rPr>
        <w:t xml:space="preserve"> 2014, almost 101,000 youth were accused of </w:t>
      </w:r>
      <w:r w:rsidRPr="00E5105E">
        <w:rPr>
          <w:rFonts w:cs="HelveticaNeueLTStd-Th"/>
          <w:i/>
        </w:rPr>
        <w:t>Criminal Code</w:t>
      </w:r>
      <w:r>
        <w:rPr>
          <w:rFonts w:cs="HelveticaNeueLTStd-Th"/>
        </w:rPr>
        <w:t xml:space="preserve"> violations; an additional 15,300 youth were accused in various drug offences, 1,200 youth were accused in Criminal Code traffic violations</w:t>
      </w:r>
      <w:r w:rsidR="00E84D09">
        <w:rPr>
          <w:rFonts w:cs="HelveticaNeueLTStd-Th"/>
        </w:rPr>
        <w:t>;</w:t>
      </w:r>
      <w:r>
        <w:rPr>
          <w:rFonts w:cs="HelveticaNeueLTStd-Th"/>
        </w:rPr>
        <w:t xml:space="preserve"> and 5,000 youth were accused in </w:t>
      </w:r>
      <w:r w:rsidR="006E4DE2">
        <w:rPr>
          <w:rFonts w:cs="HelveticaNeueLTStd-Th"/>
        </w:rPr>
        <w:t xml:space="preserve">other federal statute violations (e.g., the </w:t>
      </w:r>
      <w:r w:rsidR="006E4DE2" w:rsidRPr="006E4DE2">
        <w:rPr>
          <w:rFonts w:cs="HelveticaNeueLTStd-Th"/>
          <w:i/>
        </w:rPr>
        <w:t>Youth Criminal Justice Act</w:t>
      </w:r>
      <w:r w:rsidR="006E4DE2">
        <w:rPr>
          <w:rFonts w:cs="HelveticaNeueLTStd-Th"/>
        </w:rPr>
        <w:t xml:space="preserve">) and administration of justice offences (Allen &amp; </w:t>
      </w:r>
      <w:proofErr w:type="spellStart"/>
      <w:r w:rsidR="006E4DE2">
        <w:rPr>
          <w:rFonts w:cs="HelveticaNeueLTStd-Th"/>
        </w:rPr>
        <w:t>Superle</w:t>
      </w:r>
      <w:proofErr w:type="spellEnd"/>
      <w:r w:rsidR="006E4DE2">
        <w:rPr>
          <w:rFonts w:cs="HelveticaNeueLTStd-Th"/>
        </w:rPr>
        <w:t xml:space="preserve">, </w:t>
      </w:r>
      <w:r w:rsidR="006E4DE2">
        <w:rPr>
          <w:rFonts w:cs="HelveticaNeueLTStd-Th"/>
        </w:rPr>
        <w:lastRenderedPageBreak/>
        <w:t xml:space="preserve">2016, p.5). Allen and </w:t>
      </w:r>
      <w:proofErr w:type="spellStart"/>
      <w:r w:rsidR="006E4DE2">
        <w:rPr>
          <w:rFonts w:cs="HelveticaNeueLTStd-Th"/>
        </w:rPr>
        <w:t>Superle</w:t>
      </w:r>
      <w:proofErr w:type="spellEnd"/>
      <w:r w:rsidR="006E4DE2">
        <w:rPr>
          <w:rFonts w:cs="HelveticaNeueLTStd-Th"/>
        </w:rPr>
        <w:t xml:space="preserve"> </w:t>
      </w:r>
      <w:r w:rsidR="00484599">
        <w:rPr>
          <w:rFonts w:cs="HelveticaNeueLTStd-Th"/>
        </w:rPr>
        <w:t>note</w:t>
      </w:r>
      <w:r w:rsidR="006E4DE2">
        <w:rPr>
          <w:rFonts w:cs="HelveticaNeueLTStd-Th"/>
        </w:rPr>
        <w:t xml:space="preserve"> that police</w:t>
      </w:r>
      <w:r w:rsidR="00484599">
        <w:rPr>
          <w:rFonts w:cs="HelveticaNeueLTStd-Th"/>
        </w:rPr>
        <w:t>-reported youth crime most often consists of offences such as mischief (i.e. property damage), assault level</w:t>
      </w:r>
      <w:r w:rsidR="006E4DE2">
        <w:rPr>
          <w:rFonts w:cs="HelveticaNeueLTStd-Th"/>
        </w:rPr>
        <w:t xml:space="preserve"> </w:t>
      </w:r>
      <w:r w:rsidR="00484599">
        <w:rPr>
          <w:rFonts w:cs="HelveticaNeueLTStd-Th"/>
        </w:rPr>
        <w:t>1 (common assault and uttering threats), cannabis possession (which account</w:t>
      </w:r>
      <w:r w:rsidR="00533D64">
        <w:rPr>
          <w:rFonts w:cs="HelveticaNeueLTStd-Th"/>
        </w:rPr>
        <w:t>ed</w:t>
      </w:r>
      <w:r w:rsidR="00484599">
        <w:rPr>
          <w:rFonts w:cs="HelveticaNeueLTStd-Th"/>
        </w:rPr>
        <w:t xml:space="preserve"> for 80% of </w:t>
      </w:r>
      <w:r w:rsidR="00533D64">
        <w:rPr>
          <w:rFonts w:cs="HelveticaNeueLTStd-Th"/>
        </w:rPr>
        <w:t>drug-related offences by youth in 2014), and administration of justice offences such as failure to appear in court or breach of conditions (2016, p. 7)</w:t>
      </w:r>
      <w:r w:rsidR="00121897">
        <w:rPr>
          <w:rFonts w:cs="HelveticaNeueLTStd-Th"/>
        </w:rPr>
        <w:t xml:space="preserve">. </w:t>
      </w:r>
      <w:r w:rsidR="00684F98">
        <w:rPr>
          <w:rFonts w:cs="HelveticaNeueLTStd-Th"/>
        </w:rPr>
        <w:t xml:space="preserve">Allen and </w:t>
      </w:r>
      <w:proofErr w:type="spellStart"/>
      <w:r w:rsidR="00684F98">
        <w:rPr>
          <w:rFonts w:cs="HelveticaNeueLTStd-Th"/>
        </w:rPr>
        <w:t>Superle</w:t>
      </w:r>
      <w:proofErr w:type="spellEnd"/>
      <w:r w:rsidR="00684F98">
        <w:rPr>
          <w:rFonts w:cs="HelveticaNeueLTStd-Th"/>
        </w:rPr>
        <w:t xml:space="preserve"> also note that in 2014, youth between 12 and 17 years of age had the highest rates for police-reported crime for robbery, </w:t>
      </w:r>
      <w:r w:rsidR="009D625A">
        <w:rPr>
          <w:rFonts w:cs="HelveticaNeueLTStd-Th"/>
        </w:rPr>
        <w:t>uttering threats, and motor vehicle theft (2016, p. 8).</w:t>
      </w:r>
      <w:r w:rsidR="00971B99">
        <w:rPr>
          <w:rFonts w:cs="HelveticaNeueLTStd-Th"/>
        </w:rPr>
        <w:t xml:space="preserve"> </w:t>
      </w:r>
    </w:p>
    <w:p w:rsidR="00FA73F7" w:rsidRDefault="00FA73F7" w:rsidP="00E43645">
      <w:pPr>
        <w:autoSpaceDE w:val="0"/>
        <w:autoSpaceDN w:val="0"/>
        <w:adjustRightInd w:val="0"/>
        <w:spacing w:after="0" w:line="240" w:lineRule="auto"/>
        <w:rPr>
          <w:rFonts w:cs="HelveticaNeueLTStd-Th"/>
        </w:rPr>
      </w:pPr>
    </w:p>
    <w:p w:rsidR="00832517" w:rsidRDefault="00F45439" w:rsidP="00E43645">
      <w:pPr>
        <w:autoSpaceDE w:val="0"/>
        <w:autoSpaceDN w:val="0"/>
        <w:adjustRightInd w:val="0"/>
        <w:spacing w:after="0" w:line="240" w:lineRule="auto"/>
        <w:rPr>
          <w:rFonts w:cs="HelveticaNeueLTStd-Th"/>
        </w:rPr>
      </w:pPr>
      <w:r>
        <w:rPr>
          <w:rFonts w:cs="HelveticaNeueLTStd-Th"/>
        </w:rPr>
        <w:t xml:space="preserve">The </w:t>
      </w:r>
      <w:r>
        <w:rPr>
          <w:rFonts w:cs="HelveticaNeueLTStd-Th"/>
          <w:i/>
        </w:rPr>
        <w:t xml:space="preserve">Time Out III </w:t>
      </w:r>
      <w:r>
        <w:rPr>
          <w:rFonts w:cs="HelveticaNeueLTStd-Th"/>
        </w:rPr>
        <w:t xml:space="preserve">survey results showed that a majority of </w:t>
      </w:r>
      <w:r w:rsidR="00BF7EF8">
        <w:rPr>
          <w:rFonts w:cs="HelveticaNeueLTStd-Th"/>
        </w:rPr>
        <w:t>the survey respondents</w:t>
      </w:r>
      <w:r>
        <w:rPr>
          <w:rFonts w:cs="HelveticaNeueLTStd-Th"/>
        </w:rPr>
        <w:t xml:space="preserve"> (58%) were in custody for breach of probation or administration of justice offences, 37% were in custody for assault or uttering threats, 36% were in custody for robbery, 31% for weapons charges, and 12% were in custody for drug charges</w:t>
      </w:r>
      <w:r w:rsidR="00D66C75">
        <w:rPr>
          <w:rFonts w:cs="HelveticaNeueLTStd-Th"/>
        </w:rPr>
        <w:t xml:space="preserve"> </w:t>
      </w:r>
      <w:r>
        <w:rPr>
          <w:rFonts w:cs="HelveticaNeueLTStd-Th"/>
        </w:rPr>
        <w:t xml:space="preserve">(Smith, Cox, et al, 2013, p. 16). </w:t>
      </w:r>
      <w:r w:rsidR="00832517">
        <w:rPr>
          <w:rFonts w:cs="HelveticaNeueLTStd-Th"/>
        </w:rPr>
        <w:t>It is not specified whether these youths</w:t>
      </w:r>
      <w:r w:rsidR="007E352F">
        <w:rPr>
          <w:rFonts w:cs="HelveticaNeueLTStd-Th"/>
        </w:rPr>
        <w:t>’</w:t>
      </w:r>
      <w:r w:rsidR="00832517">
        <w:rPr>
          <w:rFonts w:cs="HelveticaNeueLTStd-Th"/>
        </w:rPr>
        <w:t xml:space="preserve"> drug-related charges were possession-related or supply-related (i.e., making or selling controlled substances) or whether they pertained to cannabis or some other controlled substance, but based on Cotter, Greenland and </w:t>
      </w:r>
      <w:proofErr w:type="spellStart"/>
      <w:r w:rsidR="00832517">
        <w:rPr>
          <w:rFonts w:cs="HelveticaNeueLTStd-Th"/>
        </w:rPr>
        <w:t>Karam’s</w:t>
      </w:r>
      <w:proofErr w:type="spellEnd"/>
      <w:r w:rsidR="00832517">
        <w:rPr>
          <w:rFonts w:cs="HelveticaNeueLTStd-Th"/>
        </w:rPr>
        <w:t xml:space="preserve"> (2015) analysis of drug-related cases (n=21,728) in youth courts between 2008/09 and 2011/12, it is probably reasonable to assume that at least some of the </w:t>
      </w:r>
      <w:r w:rsidR="0075404A">
        <w:rPr>
          <w:rFonts w:cs="HelveticaNeueLTStd-Th"/>
        </w:rPr>
        <w:t xml:space="preserve">drug-related </w:t>
      </w:r>
      <w:r w:rsidR="00832517">
        <w:rPr>
          <w:rFonts w:cs="HelveticaNeueLTStd-Th"/>
        </w:rPr>
        <w:t>charges were more serious than simple possession</w:t>
      </w:r>
      <w:r w:rsidR="0075404A">
        <w:rPr>
          <w:rFonts w:cs="HelveticaNeueLTStd-Th"/>
        </w:rPr>
        <w:t xml:space="preserve"> of cannabis</w:t>
      </w:r>
      <w:r w:rsidR="00832517">
        <w:rPr>
          <w:rStyle w:val="FootnoteReference"/>
          <w:rFonts w:cs="HelveticaNeueLTStd-Th"/>
        </w:rPr>
        <w:footnoteReference w:id="9"/>
      </w:r>
      <w:r w:rsidR="00832517">
        <w:rPr>
          <w:rFonts w:cs="HelveticaNeueLTStd-Th"/>
        </w:rPr>
        <w:t>.</w:t>
      </w:r>
    </w:p>
    <w:p w:rsidR="00832517" w:rsidRDefault="00832517" w:rsidP="00E43645">
      <w:pPr>
        <w:autoSpaceDE w:val="0"/>
        <w:autoSpaceDN w:val="0"/>
        <w:adjustRightInd w:val="0"/>
        <w:spacing w:after="0" w:line="240" w:lineRule="auto"/>
        <w:rPr>
          <w:rFonts w:cs="HelveticaNeueLTStd-Th"/>
        </w:rPr>
      </w:pPr>
    </w:p>
    <w:p w:rsidR="00BF7EF8" w:rsidRDefault="00BF7EF8" w:rsidP="00E43645">
      <w:pPr>
        <w:autoSpaceDE w:val="0"/>
        <w:autoSpaceDN w:val="0"/>
        <w:adjustRightInd w:val="0"/>
        <w:spacing w:after="0" w:line="240" w:lineRule="auto"/>
        <w:rPr>
          <w:rFonts w:cs="HelveticaNeueLTStd-Th"/>
        </w:rPr>
      </w:pPr>
      <w:r>
        <w:rPr>
          <w:rFonts w:cs="HelveticaNeueLTStd-Th"/>
        </w:rPr>
        <w:t>Furthermore, 31% of detained youth had previously been charged or found guilty of drug offences, 62% had previously been charged with assault or uttering threats, and 60% had previously been charged with breach of probation</w:t>
      </w:r>
      <w:r w:rsidR="00F9444C">
        <w:rPr>
          <w:rStyle w:val="FootnoteReference"/>
          <w:rFonts w:cs="HelveticaNeueLTStd-Th"/>
        </w:rPr>
        <w:footnoteReference w:id="10"/>
      </w:r>
      <w:r>
        <w:rPr>
          <w:rFonts w:cs="HelveticaNeueLTStd-Th"/>
        </w:rPr>
        <w:t xml:space="preserve"> or an administrative charge such as failing to appear (Smith, Cox, et al, 2013, p. 18) which suggests a high rate of reoffending among these youth</w:t>
      </w:r>
      <w:r w:rsidR="00344A51">
        <w:rPr>
          <w:rFonts w:cs="HelveticaNeueLTStd-Th"/>
        </w:rPr>
        <w:t>, particularly as more than four-fifths (83%) of the youth surveyed indicated they obtained money from illegal sources such as drug dealing (63%), theft or robbery (57%), and other illegal activities (39%) before they were committed to custody (Smith, Cox, et al, 2013, p. 14).</w:t>
      </w:r>
    </w:p>
    <w:p w:rsidR="00BF7EF8" w:rsidRDefault="00BF7EF8" w:rsidP="00E43645">
      <w:pPr>
        <w:autoSpaceDE w:val="0"/>
        <w:autoSpaceDN w:val="0"/>
        <w:adjustRightInd w:val="0"/>
        <w:spacing w:after="0" w:line="240" w:lineRule="auto"/>
        <w:rPr>
          <w:rFonts w:cs="HelveticaNeueLTStd-Th"/>
        </w:rPr>
      </w:pPr>
    </w:p>
    <w:p w:rsidR="0075404A" w:rsidRDefault="0075404A" w:rsidP="00E43645">
      <w:pPr>
        <w:autoSpaceDE w:val="0"/>
        <w:autoSpaceDN w:val="0"/>
        <w:adjustRightInd w:val="0"/>
        <w:spacing w:after="0" w:line="240" w:lineRule="auto"/>
        <w:rPr>
          <w:rFonts w:cs="HelveticaNeueLTStd-Th"/>
        </w:rPr>
      </w:pPr>
    </w:p>
    <w:p w:rsidR="0075404A" w:rsidRPr="0006587E" w:rsidRDefault="0075404A" w:rsidP="00E43645">
      <w:pPr>
        <w:autoSpaceDE w:val="0"/>
        <w:autoSpaceDN w:val="0"/>
        <w:adjustRightInd w:val="0"/>
        <w:spacing w:after="0" w:line="240" w:lineRule="auto"/>
        <w:rPr>
          <w:rFonts w:cs="HelveticaNeueLTStd-Th"/>
          <w:b/>
        </w:rPr>
      </w:pPr>
      <w:r w:rsidRPr="0006587E">
        <w:rPr>
          <w:rFonts w:cs="HelveticaNeueLTStd-Th"/>
          <w:b/>
        </w:rPr>
        <w:t xml:space="preserve">At-risk Youth and the </w:t>
      </w:r>
      <w:r w:rsidR="0006587E" w:rsidRPr="0006587E">
        <w:rPr>
          <w:rFonts w:cs="HelveticaNeueLTStd-Th"/>
          <w:b/>
        </w:rPr>
        <w:t>Youth Justice System</w:t>
      </w:r>
    </w:p>
    <w:p w:rsidR="00637E79" w:rsidRDefault="005F4796" w:rsidP="00E43645">
      <w:pPr>
        <w:autoSpaceDE w:val="0"/>
        <w:autoSpaceDN w:val="0"/>
        <w:adjustRightInd w:val="0"/>
        <w:spacing w:after="0" w:line="240" w:lineRule="auto"/>
        <w:rPr>
          <w:rFonts w:cs="HelveticaNeueLTStd-Th"/>
        </w:rPr>
      </w:pPr>
      <w:r>
        <w:rPr>
          <w:rFonts w:cs="HelveticaNeueLTStd-Th"/>
        </w:rPr>
        <w:t xml:space="preserve">Allen and </w:t>
      </w:r>
      <w:proofErr w:type="spellStart"/>
      <w:r>
        <w:rPr>
          <w:rFonts w:cs="HelveticaNeueLTStd-Th"/>
        </w:rPr>
        <w:t>Superle</w:t>
      </w:r>
      <w:proofErr w:type="spellEnd"/>
      <w:r>
        <w:rPr>
          <w:rFonts w:cs="HelveticaNeueLTStd-Th"/>
        </w:rPr>
        <w:t xml:space="preserve"> point out</w:t>
      </w:r>
      <w:r w:rsidR="00F94AFC">
        <w:rPr>
          <w:rFonts w:cs="HelveticaNeueLTStd-Th"/>
        </w:rPr>
        <w:t xml:space="preserve"> that</w:t>
      </w:r>
      <w:r>
        <w:rPr>
          <w:rFonts w:cs="HelveticaNeueLTStd-Th"/>
        </w:rPr>
        <w:t xml:space="preserve"> </w:t>
      </w:r>
      <w:r w:rsidR="00F94AFC">
        <w:rPr>
          <w:rFonts w:cs="HelveticaNeueLTStd-Th"/>
        </w:rPr>
        <w:t>“n</w:t>
      </w:r>
      <w:r>
        <w:rPr>
          <w:rFonts w:cs="HelveticaNeueLTStd-Th"/>
        </w:rPr>
        <w:t>ot all youth offenders ... are destined</w:t>
      </w:r>
      <w:r w:rsidR="00CA7988">
        <w:rPr>
          <w:rFonts w:cs="HelveticaNeueLTStd-Th"/>
        </w:rPr>
        <w:t xml:space="preserve"> for a life of crime. Many youth who commit crimes may be one-time offenders ....” (2016, p. 4). </w:t>
      </w:r>
      <w:r w:rsidR="00E76C9D">
        <w:rPr>
          <w:rFonts w:cs="HelveticaNeueLTStd-Th"/>
        </w:rPr>
        <w:t>However, Scully and Finlay</w:t>
      </w:r>
      <w:r w:rsidR="0044048B">
        <w:rPr>
          <w:rFonts w:cs="HelveticaNeueLTStd-Th"/>
        </w:rPr>
        <w:t xml:space="preserve"> (2015)</w:t>
      </w:r>
      <w:r w:rsidR="00E76C9D">
        <w:rPr>
          <w:rFonts w:cs="HelveticaNeueLTStd-Th"/>
        </w:rPr>
        <w:t xml:space="preserve"> suggest that such youth maybe the exception rather than the rule among justice-involved youth</w:t>
      </w:r>
      <w:r w:rsidR="0044048B">
        <w:rPr>
          <w:rFonts w:cs="HelveticaNeueLTStd-Th"/>
        </w:rPr>
        <w:t>, noting that</w:t>
      </w:r>
      <w:r w:rsidR="00E76C9D">
        <w:rPr>
          <w:rFonts w:cs="HelveticaNeueLTStd-Th"/>
        </w:rPr>
        <w:t xml:space="preserve"> a disproportionate number of youth in the youth justice system</w:t>
      </w:r>
      <w:r w:rsidR="0044048B">
        <w:rPr>
          <w:rFonts w:cs="HelveticaNeueLTStd-Th"/>
        </w:rPr>
        <w:t xml:space="preserve"> are “cross-over youth” from the child welfare system (i.e., youth in the foster care/group home system of care).</w:t>
      </w:r>
      <w:r w:rsidR="00E76C9D">
        <w:rPr>
          <w:rFonts w:cs="HelveticaNeueLTStd-Th"/>
        </w:rPr>
        <w:t xml:space="preserve"> </w:t>
      </w:r>
    </w:p>
    <w:p w:rsidR="00637E79" w:rsidRDefault="00637E79" w:rsidP="00E43645">
      <w:pPr>
        <w:autoSpaceDE w:val="0"/>
        <w:autoSpaceDN w:val="0"/>
        <w:adjustRightInd w:val="0"/>
        <w:spacing w:after="0" w:line="240" w:lineRule="auto"/>
        <w:rPr>
          <w:rFonts w:cs="HelveticaNeueLTStd-Th"/>
        </w:rPr>
      </w:pPr>
    </w:p>
    <w:p w:rsidR="00E76C9D" w:rsidRDefault="0044048B" w:rsidP="00E43645">
      <w:pPr>
        <w:autoSpaceDE w:val="0"/>
        <w:autoSpaceDN w:val="0"/>
        <w:adjustRightInd w:val="0"/>
        <w:spacing w:after="0" w:line="240" w:lineRule="auto"/>
        <w:rPr>
          <w:rFonts w:cs="HelveticaNeueLTStd-Th"/>
        </w:rPr>
      </w:pPr>
      <w:r>
        <w:rPr>
          <w:rFonts w:cs="HelveticaNeueLTStd-Th"/>
        </w:rPr>
        <w:t xml:space="preserve">A 2009 British Columbia study </w:t>
      </w:r>
      <w:r w:rsidR="00832517">
        <w:rPr>
          <w:rFonts w:cs="HelveticaNeueLTStd-Th"/>
        </w:rPr>
        <w:t xml:space="preserve">of 50,000 youth and their involvement in the child welfare, youth justice, and education systems found that more youth in care were more likely to end up in the youth justice system (36%) than graduating from high school (25%), were more likely than youth in the general population to be recommended for charges by the police (41% versus 6%, respectively), more likely to appear in youth court than the general population (36% versus 5%), and more likely to be detained or </w:t>
      </w:r>
      <w:r w:rsidR="00832517">
        <w:rPr>
          <w:rFonts w:cs="HelveticaNeueLTStd-Th"/>
        </w:rPr>
        <w:lastRenderedPageBreak/>
        <w:t>sentenced to custody (16% versus 2%) than youth in the general population (</w:t>
      </w:r>
      <w:r>
        <w:rPr>
          <w:rFonts w:cs="HelveticaNeueLTStd-Th"/>
        </w:rPr>
        <w:t xml:space="preserve">BC Representative for Children and Youth and the Office of the Provincial Health Officer, </w:t>
      </w:r>
      <w:r w:rsidR="00832517">
        <w:rPr>
          <w:rFonts w:cs="HelveticaNeueLTStd-Th"/>
        </w:rPr>
        <w:t xml:space="preserve">2009, cited in </w:t>
      </w:r>
      <w:r>
        <w:rPr>
          <w:rFonts w:cs="HelveticaNeueLTStd-Th"/>
        </w:rPr>
        <w:t>Scully and Finlay</w:t>
      </w:r>
      <w:r w:rsidR="00832517">
        <w:rPr>
          <w:rFonts w:cs="HelveticaNeueLTStd-Th"/>
        </w:rPr>
        <w:t>, 2015, p. 5)</w:t>
      </w:r>
      <w:r w:rsidR="007A44D9">
        <w:rPr>
          <w:rFonts w:cs="HelveticaNeueLTStd-Th"/>
        </w:rPr>
        <w:t>.</w:t>
      </w:r>
      <w:r>
        <w:rPr>
          <w:rFonts w:cs="HelveticaNeueLTStd-Th"/>
        </w:rPr>
        <w:t xml:space="preserve"> </w:t>
      </w:r>
    </w:p>
    <w:p w:rsidR="0075404A" w:rsidRDefault="0075404A" w:rsidP="00E43645">
      <w:pPr>
        <w:autoSpaceDE w:val="0"/>
        <w:autoSpaceDN w:val="0"/>
        <w:adjustRightInd w:val="0"/>
        <w:spacing w:after="0" w:line="240" w:lineRule="auto"/>
        <w:rPr>
          <w:rFonts w:cs="HelveticaNeueLTStd-Th"/>
        </w:rPr>
      </w:pPr>
    </w:p>
    <w:p w:rsidR="00F92302" w:rsidRPr="00F27FA9" w:rsidRDefault="007A44D9" w:rsidP="00E43645">
      <w:pPr>
        <w:autoSpaceDE w:val="0"/>
        <w:autoSpaceDN w:val="0"/>
        <w:adjustRightInd w:val="0"/>
        <w:spacing w:after="0" w:line="240" w:lineRule="auto"/>
        <w:rPr>
          <w:rFonts w:cs="HelveticaNeueLTStd-Th"/>
        </w:rPr>
      </w:pPr>
      <w:r>
        <w:rPr>
          <w:rFonts w:cs="HelveticaNeueLTStd-Th"/>
        </w:rPr>
        <w:t>Many of these “cross-over</w:t>
      </w:r>
      <w:r w:rsidR="00CA7988">
        <w:rPr>
          <w:rFonts w:cs="HelveticaNeueLTStd-Th"/>
        </w:rPr>
        <w:t xml:space="preserve"> youth</w:t>
      </w:r>
      <w:r>
        <w:rPr>
          <w:rFonts w:cs="HelveticaNeueLTStd-Th"/>
        </w:rPr>
        <w:t>”</w:t>
      </w:r>
      <w:r w:rsidR="00CA7988">
        <w:rPr>
          <w:rFonts w:cs="HelveticaNeueLTStd-Th"/>
        </w:rPr>
        <w:t xml:space="preserve"> have had the deck stacked against them</w:t>
      </w:r>
      <w:r w:rsidR="005F46A1">
        <w:rPr>
          <w:rFonts w:cs="HelveticaNeueLTStd-Th"/>
        </w:rPr>
        <w:t xml:space="preserve"> from an early age, struggling to cope with multiple adverse factors</w:t>
      </w:r>
      <w:r>
        <w:rPr>
          <w:rFonts w:cs="HelveticaNeueLTStd-Th"/>
        </w:rPr>
        <w:t>—including trauma exposure in their family of origin and then additional traumas and losses as a result of being placed in care—</w:t>
      </w:r>
      <w:r w:rsidR="005F46A1">
        <w:rPr>
          <w:rFonts w:cs="HelveticaNeueLTStd-Th"/>
        </w:rPr>
        <w:t xml:space="preserve">that negatively impact their psycho-social development (National Crime Prevention Centre, 2012). A large body of research has now established that cumulative trauma exposure </w:t>
      </w:r>
      <w:r w:rsidR="00C7199C">
        <w:rPr>
          <w:rFonts w:cs="HelveticaNeueLTStd-Th"/>
        </w:rPr>
        <w:t>starting in early childhood</w:t>
      </w:r>
      <w:r w:rsidR="00CA7988">
        <w:rPr>
          <w:rFonts w:cs="HelveticaNeueLTStd-Th"/>
        </w:rPr>
        <w:t xml:space="preserve"> </w:t>
      </w:r>
      <w:r w:rsidR="00C7199C">
        <w:rPr>
          <w:rFonts w:cs="HelveticaNeueLTStd-Th"/>
        </w:rPr>
        <w:t xml:space="preserve">not only contributes to significantly impaired functioning as an adult, but also contributes to pervasive functional impairment and high-risk behaviours in adolescence that include criminal behaviour, substance abuse, and attachment difficulties as well as compromised health and somatic symptoms (Layne, </w:t>
      </w:r>
      <w:proofErr w:type="spellStart"/>
      <w:r w:rsidR="00C7199C">
        <w:rPr>
          <w:rFonts w:cs="HelveticaNeueLTStd-Th"/>
        </w:rPr>
        <w:t>Greeson</w:t>
      </w:r>
      <w:proofErr w:type="spellEnd"/>
      <w:r w:rsidR="00C7199C">
        <w:rPr>
          <w:rFonts w:cs="HelveticaNeueLTStd-Th"/>
        </w:rPr>
        <w:t xml:space="preserve">, </w:t>
      </w:r>
      <w:proofErr w:type="spellStart"/>
      <w:r w:rsidR="00C7199C">
        <w:rPr>
          <w:rFonts w:cs="HelveticaNeueLTStd-Th"/>
        </w:rPr>
        <w:t>Ostrowski</w:t>
      </w:r>
      <w:proofErr w:type="spellEnd"/>
      <w:r w:rsidR="00C7199C">
        <w:rPr>
          <w:rFonts w:cs="HelveticaNeueLTStd-Th"/>
        </w:rPr>
        <w:t xml:space="preserve"> et al, 2014; </w:t>
      </w:r>
      <w:proofErr w:type="spellStart"/>
      <w:r w:rsidR="00C7199C">
        <w:rPr>
          <w:rFonts w:cs="HelveticaNeueLTStd-Th"/>
        </w:rPr>
        <w:t>Mc</w:t>
      </w:r>
      <w:r w:rsidR="00182CAF">
        <w:rPr>
          <w:rFonts w:cs="HelveticaNeueLTStd-Th"/>
        </w:rPr>
        <w:t>C</w:t>
      </w:r>
      <w:r w:rsidR="00C7199C">
        <w:rPr>
          <w:rFonts w:cs="HelveticaNeueLTStd-Th"/>
        </w:rPr>
        <w:t>ay</w:t>
      </w:r>
      <w:proofErr w:type="spellEnd"/>
      <w:r w:rsidR="00C7199C">
        <w:rPr>
          <w:rFonts w:cs="HelveticaNeueLTStd-Th"/>
        </w:rPr>
        <w:t>, 2011</w:t>
      </w:r>
      <w:r w:rsidR="001F073F">
        <w:rPr>
          <w:rFonts w:cs="HelveticaNeueLTStd-Th"/>
        </w:rPr>
        <w:t>;</w:t>
      </w:r>
      <w:r w:rsidR="00C7199C">
        <w:rPr>
          <w:rFonts w:cs="HelveticaNeueLTStd-Th"/>
        </w:rPr>
        <w:t xml:space="preserve"> </w:t>
      </w:r>
      <w:proofErr w:type="spellStart"/>
      <w:r w:rsidR="00C7199C">
        <w:rPr>
          <w:rFonts w:cs="HelveticaNeueLTStd-Th"/>
        </w:rPr>
        <w:t>Kerig</w:t>
      </w:r>
      <w:proofErr w:type="spellEnd"/>
      <w:r w:rsidR="00C7199C">
        <w:rPr>
          <w:rFonts w:cs="HelveticaNeueLTStd-Th"/>
        </w:rPr>
        <w:t xml:space="preserve"> &amp; Ford, 2014, </w:t>
      </w:r>
      <w:r w:rsidR="00840160">
        <w:rPr>
          <w:rFonts w:cs="HelveticaNeueLTStd-Th"/>
        </w:rPr>
        <w:t xml:space="preserve">Brown, McCauley, </w:t>
      </w:r>
      <w:proofErr w:type="spellStart"/>
      <w:r w:rsidR="00840160">
        <w:rPr>
          <w:rFonts w:cs="HelveticaNeueLTStd-Th"/>
        </w:rPr>
        <w:t>Navalta</w:t>
      </w:r>
      <w:proofErr w:type="spellEnd"/>
      <w:r w:rsidR="00840160">
        <w:rPr>
          <w:rFonts w:cs="HelveticaNeueLTStd-Th"/>
        </w:rPr>
        <w:t xml:space="preserve"> &amp; Saxe, 2013).</w:t>
      </w:r>
    </w:p>
    <w:p w:rsidR="001D2F5C" w:rsidRDefault="001D2F5C" w:rsidP="00E43645">
      <w:pPr>
        <w:autoSpaceDE w:val="0"/>
        <w:autoSpaceDN w:val="0"/>
        <w:adjustRightInd w:val="0"/>
        <w:spacing w:after="0" w:line="240" w:lineRule="auto"/>
        <w:rPr>
          <w:rFonts w:cs="HelveticaNeueLTStd-Th"/>
        </w:rPr>
      </w:pPr>
    </w:p>
    <w:p w:rsidR="0006587E" w:rsidRDefault="00CC0CCA" w:rsidP="00CC0CCA">
      <w:pPr>
        <w:autoSpaceDE w:val="0"/>
        <w:autoSpaceDN w:val="0"/>
        <w:adjustRightInd w:val="0"/>
        <w:spacing w:after="0" w:line="240" w:lineRule="auto"/>
        <w:rPr>
          <w:rFonts w:cs="HelveticaNeueLTStd-Th"/>
        </w:rPr>
      </w:pPr>
      <w:r>
        <w:rPr>
          <w:rFonts w:cs="HelveticaNeueLTStd-Th"/>
        </w:rPr>
        <w:t>As might be expected, justice-involved youth—along with homeless/street-involved youth and youth with mental health and/or substance use disorders who are also at risk of being justice-involved—have personal histories permeated by violence, victimization and mistreatment, grief and loss, intergenerational involvement with the justice system</w:t>
      </w:r>
      <w:r w:rsidR="00637E79">
        <w:rPr>
          <w:rFonts w:cs="HelveticaNeueLTStd-Th"/>
        </w:rPr>
        <w:t>, experience of being placed in</w:t>
      </w:r>
      <w:r>
        <w:rPr>
          <w:rFonts w:cs="HelveticaNeueLTStd-Th"/>
        </w:rPr>
        <w:t xml:space="preserve"> government care, and, </w:t>
      </w:r>
      <w:r w:rsidR="00637E79">
        <w:rPr>
          <w:rFonts w:cs="HelveticaNeueLTStd-Th"/>
        </w:rPr>
        <w:t>for</w:t>
      </w:r>
      <w:r>
        <w:rPr>
          <w:rFonts w:cs="HelveticaNeueLTStd-Th"/>
        </w:rPr>
        <w:t xml:space="preserve"> many </w:t>
      </w:r>
      <w:r w:rsidR="0075404A">
        <w:rPr>
          <w:rFonts w:cs="HelveticaNeueLTStd-Th"/>
        </w:rPr>
        <w:t>A</w:t>
      </w:r>
      <w:r>
        <w:rPr>
          <w:rFonts w:cs="HelveticaNeueLTStd-Th"/>
        </w:rPr>
        <w:t xml:space="preserve">boriginal youth, the intergenerational trauma of the residential schools (Smith, Stewart, et al, 2015; Smith, Cox, et al, 2013; Cox, Smith, et al, 2013). </w:t>
      </w:r>
      <w:r w:rsidR="002964E8">
        <w:rPr>
          <w:rFonts w:cs="HelveticaNeueLTStd-Th"/>
        </w:rPr>
        <w:t>Based on the studies with at-risk youth in BC, produced by the McCreary Centre Society</w:t>
      </w:r>
      <w:r w:rsidR="00373929">
        <w:rPr>
          <w:rFonts w:cs="HelveticaNeueLTStd-Th"/>
        </w:rPr>
        <w:t xml:space="preserve"> (Smith, Stewart, et al, 2015; Smith, Cox, et al, 2013; Cox, Smith, et al, 2013), many of these youth seem to revolve between some kind of government care arrangement</w:t>
      </w:r>
      <w:r w:rsidR="0006587E">
        <w:rPr>
          <w:rFonts w:cs="HelveticaNeueLTStd-Th"/>
        </w:rPr>
        <w:t xml:space="preserve"> (a foster home, a group home, or a Youth agreement)</w:t>
      </w:r>
      <w:r w:rsidR="00373929">
        <w:rPr>
          <w:rFonts w:cs="HelveticaNeueLTStd-Th"/>
        </w:rPr>
        <w:t>, the streets, and custody centres, and many of these youth experienced challenges with</w:t>
      </w:r>
      <w:r w:rsidR="004B3AA4">
        <w:rPr>
          <w:rFonts w:cs="HelveticaNeueLTStd-Th"/>
        </w:rPr>
        <w:t xml:space="preserve"> problematic</w:t>
      </w:r>
      <w:r w:rsidR="00373929">
        <w:rPr>
          <w:rFonts w:cs="HelveticaNeueLTStd-Th"/>
        </w:rPr>
        <w:t xml:space="preserve"> substance use—often in addition to </w:t>
      </w:r>
      <w:r w:rsidR="004B3AA4">
        <w:rPr>
          <w:rFonts w:cs="HelveticaNeueLTStd-Th"/>
        </w:rPr>
        <w:t>struggling</w:t>
      </w:r>
      <w:r w:rsidR="00373929">
        <w:rPr>
          <w:rFonts w:cs="HelveticaNeueLTStd-Th"/>
        </w:rPr>
        <w:t xml:space="preserve"> with mental health issues. </w:t>
      </w:r>
    </w:p>
    <w:p w:rsidR="0006587E" w:rsidRDefault="0006587E" w:rsidP="00CC0CCA">
      <w:pPr>
        <w:autoSpaceDE w:val="0"/>
        <w:autoSpaceDN w:val="0"/>
        <w:adjustRightInd w:val="0"/>
        <w:spacing w:after="0" w:line="240" w:lineRule="auto"/>
        <w:rPr>
          <w:rFonts w:cs="HelveticaNeueLTStd-Th"/>
        </w:rPr>
      </w:pPr>
    </w:p>
    <w:p w:rsidR="00CC0CCA" w:rsidRDefault="00CC0CCA" w:rsidP="00CC0CCA">
      <w:pPr>
        <w:autoSpaceDE w:val="0"/>
        <w:autoSpaceDN w:val="0"/>
        <w:adjustRightInd w:val="0"/>
        <w:spacing w:after="0" w:line="240" w:lineRule="auto"/>
        <w:rPr>
          <w:rFonts w:cs="HelveticaNeueLTStd-Th"/>
        </w:rPr>
      </w:pPr>
    </w:p>
    <w:p w:rsidR="00B94B27" w:rsidRDefault="00B221D9" w:rsidP="007472D3">
      <w:pPr>
        <w:autoSpaceDE w:val="0"/>
        <w:autoSpaceDN w:val="0"/>
        <w:adjustRightInd w:val="0"/>
        <w:spacing w:after="0" w:line="240" w:lineRule="auto"/>
        <w:rPr>
          <w:rFonts w:cs="HelveticaNeueLTStd-Th"/>
          <w:b/>
        </w:rPr>
      </w:pPr>
      <w:r>
        <w:rPr>
          <w:b/>
        </w:rPr>
        <w:t xml:space="preserve">Substance </w:t>
      </w:r>
      <w:r w:rsidR="00B94B27" w:rsidRPr="0053692D">
        <w:rPr>
          <w:b/>
        </w:rPr>
        <w:t>Treatment Programs Offered through</w:t>
      </w:r>
      <w:r w:rsidR="001C490D">
        <w:rPr>
          <w:b/>
        </w:rPr>
        <w:t xml:space="preserve"> the</w:t>
      </w:r>
      <w:r w:rsidR="00B94B27" w:rsidRPr="0053692D">
        <w:rPr>
          <w:b/>
        </w:rPr>
        <w:t xml:space="preserve"> Youth Justice System</w:t>
      </w:r>
    </w:p>
    <w:p w:rsidR="00B97702" w:rsidRDefault="001C490D" w:rsidP="007472D3">
      <w:pPr>
        <w:autoSpaceDE w:val="0"/>
        <w:autoSpaceDN w:val="0"/>
        <w:adjustRightInd w:val="0"/>
        <w:spacing w:after="0" w:line="240" w:lineRule="auto"/>
        <w:rPr>
          <w:rFonts w:cs="HelveticaNeueLTStd-Th"/>
        </w:rPr>
      </w:pPr>
      <w:r>
        <w:rPr>
          <w:rFonts w:cs="HelveticaNeueLTStd-Th"/>
        </w:rPr>
        <w:t>A</w:t>
      </w:r>
      <w:r w:rsidR="009C377E">
        <w:rPr>
          <w:rFonts w:cs="HelveticaNeueLTStd-Th"/>
        </w:rPr>
        <w:t>ccording to Erickson and Butters (2005),</w:t>
      </w:r>
      <w:r>
        <w:rPr>
          <w:rFonts w:cs="HelveticaNeueLTStd-Th"/>
        </w:rPr>
        <w:t xml:space="preserve"> </w:t>
      </w:r>
      <w:r w:rsidR="00181390">
        <w:rPr>
          <w:rFonts w:cs="HelveticaNeueLTStd-Th"/>
        </w:rPr>
        <w:t>the Canadian youth justice system has developed only a few specialized substance addiction treatment programs</w:t>
      </w:r>
      <w:r w:rsidR="00C44D22">
        <w:rPr>
          <w:rFonts w:cs="HelveticaNeueLTStd-Th"/>
        </w:rPr>
        <w:t>,</w:t>
      </w:r>
      <w:r w:rsidR="00181390">
        <w:rPr>
          <w:rFonts w:cs="HelveticaNeueLTStd-Th"/>
        </w:rPr>
        <w:t xml:space="preserve"> </w:t>
      </w:r>
      <w:r w:rsidR="00C44D22">
        <w:rPr>
          <w:rFonts w:cs="HelveticaNeueLTStd-Th"/>
        </w:rPr>
        <w:t xml:space="preserve">with the most innovative programs developed for Aboriginal youth. </w:t>
      </w:r>
    </w:p>
    <w:p w:rsidR="00B97702" w:rsidRDefault="00B97702" w:rsidP="007472D3">
      <w:pPr>
        <w:autoSpaceDE w:val="0"/>
        <w:autoSpaceDN w:val="0"/>
        <w:adjustRightInd w:val="0"/>
        <w:spacing w:after="0" w:line="240" w:lineRule="auto"/>
        <w:rPr>
          <w:rFonts w:cs="HelveticaNeueLTStd-Th"/>
        </w:rPr>
      </w:pPr>
    </w:p>
    <w:p w:rsidR="00B97702" w:rsidRDefault="0029669E" w:rsidP="007472D3">
      <w:pPr>
        <w:autoSpaceDE w:val="0"/>
        <w:autoSpaceDN w:val="0"/>
        <w:adjustRightInd w:val="0"/>
        <w:spacing w:after="0" w:line="240" w:lineRule="auto"/>
        <w:rPr>
          <w:rFonts w:cs="HelveticaNeueLTStd-Th"/>
        </w:rPr>
      </w:pPr>
      <w:r>
        <w:rPr>
          <w:rFonts w:cs="HelveticaNeueLTStd-Th"/>
        </w:rPr>
        <w:t xml:space="preserve">According to </w:t>
      </w:r>
      <w:r w:rsidR="00216FFD">
        <w:rPr>
          <w:rFonts w:cs="HelveticaNeueLTStd-Th"/>
        </w:rPr>
        <w:t>Erickson and Butters</w:t>
      </w:r>
      <w:r>
        <w:rPr>
          <w:rFonts w:cs="HelveticaNeueLTStd-Th"/>
        </w:rPr>
        <w:t>,</w:t>
      </w:r>
      <w:r w:rsidR="00216FFD">
        <w:rPr>
          <w:rFonts w:cs="HelveticaNeueLTStd-Th"/>
        </w:rPr>
        <w:t xml:space="preserve"> </w:t>
      </w:r>
      <w:r w:rsidR="004333AD">
        <w:rPr>
          <w:rFonts w:cs="HelveticaNeueLTStd-Th"/>
        </w:rPr>
        <w:t>substance treatment for young offenders in Ontario is based on an initial assessment and planning process, and an individualized treatment plan is created based on the youth’s needs, level of motivation, and learning style (2005, p. 960), although it is not clear whether mental health diagnoses (particularly a PTSD diagnosis) is also taken into consideration during the assessment. Treatment options are also impacted by the youth’s length of disposition: Given that the average length of time spent in custody</w:t>
      </w:r>
      <w:r w:rsidR="004B6543">
        <w:rPr>
          <w:rFonts w:cs="HelveticaNeueLTStd-Th"/>
        </w:rPr>
        <w:t xml:space="preserve"> was just under three months (Erickson &amp; Butters, 2005, p. 961), any treatment program would have to be designed to be effective in a short space of time.</w:t>
      </w:r>
    </w:p>
    <w:p w:rsidR="004B6543" w:rsidRDefault="004B6543" w:rsidP="007472D3">
      <w:pPr>
        <w:autoSpaceDE w:val="0"/>
        <w:autoSpaceDN w:val="0"/>
        <w:adjustRightInd w:val="0"/>
        <w:spacing w:after="0" w:line="240" w:lineRule="auto"/>
        <w:rPr>
          <w:rFonts w:cs="HelveticaNeueLTStd-Th"/>
        </w:rPr>
      </w:pPr>
    </w:p>
    <w:p w:rsidR="00825471" w:rsidRDefault="004B6543" w:rsidP="007472D3">
      <w:pPr>
        <w:autoSpaceDE w:val="0"/>
        <w:autoSpaceDN w:val="0"/>
        <w:adjustRightInd w:val="0"/>
        <w:spacing w:after="0" w:line="240" w:lineRule="auto"/>
        <w:rPr>
          <w:rFonts w:cs="HelveticaNeueLTStd-Th"/>
        </w:rPr>
      </w:pPr>
      <w:r>
        <w:rPr>
          <w:rFonts w:cs="HelveticaNeueLTStd-Th"/>
        </w:rPr>
        <w:t xml:space="preserve">Erickson and Butters report they found very little information about programs for young offenders 12-15 years of age, other than twelve-step programs (e.g., AA, NA) and general drug and alcohol counselling (2005, 961). The researchers </w:t>
      </w:r>
      <w:r w:rsidR="0004343E">
        <w:rPr>
          <w:rFonts w:cs="HelveticaNeueLTStd-Th"/>
        </w:rPr>
        <w:t>found four innovative</w:t>
      </w:r>
      <w:r>
        <w:rPr>
          <w:rFonts w:cs="HelveticaNeueLTStd-Th"/>
        </w:rPr>
        <w:t xml:space="preserve"> programs for young offenders 16-17 years of age</w:t>
      </w:r>
      <w:r w:rsidR="007B1367">
        <w:rPr>
          <w:rFonts w:cs="HelveticaNeueLTStd-Th"/>
        </w:rPr>
        <w:t xml:space="preserve"> in secure custody</w:t>
      </w:r>
      <w:r w:rsidR="00A842E5">
        <w:rPr>
          <w:rFonts w:cs="HelveticaNeueLTStd-Th"/>
        </w:rPr>
        <w:t>:</w:t>
      </w:r>
      <w:r w:rsidR="0004343E">
        <w:rPr>
          <w:rFonts w:cs="HelveticaNeueLTStd-Th"/>
        </w:rPr>
        <w:t xml:space="preserve"> a short (2-3 week)</w:t>
      </w:r>
      <w:r w:rsidR="00A842E5">
        <w:rPr>
          <w:rFonts w:cs="HelveticaNeueLTStd-Th"/>
        </w:rPr>
        <w:t>, multi-dimensional</w:t>
      </w:r>
      <w:r w:rsidR="0004343E">
        <w:rPr>
          <w:rFonts w:cs="HelveticaNeueLTStd-Th"/>
        </w:rPr>
        <w:t xml:space="preserve"> program called SOS (Staying off Substances)</w:t>
      </w:r>
      <w:r w:rsidR="00A842E5">
        <w:rPr>
          <w:rFonts w:cs="HelveticaNeueLTStd-Th"/>
        </w:rPr>
        <w:t>, designed to help youth take stock of their substance using patterns (including recognizing the triggers for using substances), develop relapse prevention skills, develop pro</w:t>
      </w:r>
      <w:r w:rsidR="00E72A67">
        <w:rPr>
          <w:rFonts w:cs="HelveticaNeueLTStd-Th"/>
        </w:rPr>
        <w:t>-</w:t>
      </w:r>
      <w:r w:rsidR="00A842E5">
        <w:rPr>
          <w:rFonts w:cs="HelveticaNeueLTStd-Th"/>
        </w:rPr>
        <w:t>social activities such as a hobby or a sport, and enhance the primary relationships in their lives (2005, p. 961);</w:t>
      </w:r>
      <w:r w:rsidR="0004343E">
        <w:rPr>
          <w:rFonts w:cs="HelveticaNeueLTStd-Th"/>
        </w:rPr>
        <w:t xml:space="preserve"> </w:t>
      </w:r>
      <w:r w:rsidR="00A842E5">
        <w:rPr>
          <w:rFonts w:cs="HelveticaNeueLTStd-Th"/>
        </w:rPr>
        <w:t xml:space="preserve">a program called the 7 Challenges Substance Abuse Treatment Program, </w:t>
      </w:r>
      <w:r w:rsidR="00825471">
        <w:rPr>
          <w:rFonts w:cs="HelveticaNeueLTStd-Th"/>
        </w:rPr>
        <w:t>provided</w:t>
      </w:r>
      <w:r w:rsidR="00A842E5">
        <w:rPr>
          <w:rFonts w:cs="HelveticaNeueLTStd-Th"/>
        </w:rPr>
        <w:t xml:space="preserve"> to </w:t>
      </w:r>
      <w:r w:rsidR="00352556">
        <w:rPr>
          <w:rFonts w:cs="HelveticaNeueLTStd-Th"/>
        </w:rPr>
        <w:t>youth</w:t>
      </w:r>
      <w:r w:rsidR="00A842E5">
        <w:rPr>
          <w:rFonts w:cs="HelveticaNeueLTStd-Th"/>
        </w:rPr>
        <w:t xml:space="preserve"> identified as high-risk, is based on </w:t>
      </w:r>
      <w:r w:rsidR="007B1367">
        <w:rPr>
          <w:rFonts w:cs="HelveticaNeueLTStd-Th"/>
        </w:rPr>
        <w:t xml:space="preserve">a </w:t>
      </w:r>
      <w:r w:rsidR="007B1367">
        <w:rPr>
          <w:rFonts w:cs="HelveticaNeueLTStd-Th"/>
        </w:rPr>
        <w:lastRenderedPageBreak/>
        <w:t>“stages of change” model and</w:t>
      </w:r>
      <w:r w:rsidR="00A842E5">
        <w:rPr>
          <w:rFonts w:cs="HelveticaNeueLTStd-Th"/>
        </w:rPr>
        <w:t xml:space="preserve"> involves a self-paced approach to completing nine exercise books and one reader</w:t>
      </w:r>
      <w:r w:rsidR="007B1367">
        <w:rPr>
          <w:rFonts w:cs="HelveticaNeueLTStd-Th"/>
        </w:rPr>
        <w:t xml:space="preserve"> and occasional meetings with the program facilitator; a third program called the Substance Abuse (Crackdown) program is aimed at Aboriginal youth who used solvents, and is delivered as an education program to teach youth about the types</w:t>
      </w:r>
      <w:r w:rsidR="00825471">
        <w:rPr>
          <w:rFonts w:cs="HelveticaNeueLTStd-Th"/>
        </w:rPr>
        <w:t>,</w:t>
      </w:r>
      <w:r w:rsidR="007B1367">
        <w:rPr>
          <w:rFonts w:cs="HelveticaNeueLTStd-Th"/>
        </w:rPr>
        <w:t xml:space="preserve"> effects, treatment and control of solvents; a fourth program, called Addictions Awareness Program is designed to get youth to think about </w:t>
      </w:r>
      <w:r w:rsidR="00BC7597">
        <w:rPr>
          <w:rFonts w:cs="HelveticaNeueLTStd-Th"/>
        </w:rPr>
        <w:t>their addiction issues and encourage them to think about</w:t>
      </w:r>
      <w:r w:rsidR="00825471">
        <w:rPr>
          <w:rFonts w:cs="HelveticaNeueLTStd-Th"/>
        </w:rPr>
        <w:t xml:space="preserve"> how</w:t>
      </w:r>
      <w:r w:rsidR="00BC7597">
        <w:rPr>
          <w:rFonts w:cs="HelveticaNeueLTStd-Th"/>
        </w:rPr>
        <w:t xml:space="preserve"> their substance abuse relates to their criminal behaviour (Erickson &amp; Butters, 2005, 962). </w:t>
      </w:r>
    </w:p>
    <w:p w:rsidR="00825471" w:rsidRDefault="00825471" w:rsidP="007472D3">
      <w:pPr>
        <w:autoSpaceDE w:val="0"/>
        <w:autoSpaceDN w:val="0"/>
        <w:adjustRightInd w:val="0"/>
        <w:spacing w:after="0" w:line="240" w:lineRule="auto"/>
        <w:rPr>
          <w:rFonts w:cs="HelveticaNeueLTStd-Th"/>
        </w:rPr>
      </w:pPr>
    </w:p>
    <w:p w:rsidR="004B7D21" w:rsidRDefault="00BC7597" w:rsidP="007472D3">
      <w:pPr>
        <w:autoSpaceDE w:val="0"/>
        <w:autoSpaceDN w:val="0"/>
        <w:adjustRightInd w:val="0"/>
        <w:spacing w:after="0" w:line="240" w:lineRule="auto"/>
        <w:rPr>
          <w:rFonts w:cs="HelveticaNeueLTStd-Th"/>
        </w:rPr>
      </w:pPr>
      <w:r>
        <w:rPr>
          <w:rFonts w:cs="HelveticaNeueLTStd-Th"/>
        </w:rPr>
        <w:t xml:space="preserve">According to </w:t>
      </w:r>
      <w:r w:rsidR="00825471">
        <w:rPr>
          <w:rFonts w:cs="HelveticaNeueLTStd-Th"/>
        </w:rPr>
        <w:t>Erickson and Butters</w:t>
      </w:r>
      <w:r>
        <w:rPr>
          <w:rFonts w:cs="HelveticaNeueLTStd-Th"/>
        </w:rPr>
        <w:t>, youth corrections in Ontario also ha</w:t>
      </w:r>
      <w:r w:rsidR="00825471">
        <w:rPr>
          <w:rFonts w:cs="HelveticaNeueLTStd-Th"/>
        </w:rPr>
        <w:t>s</w:t>
      </w:r>
      <w:r>
        <w:rPr>
          <w:rFonts w:cs="HelveticaNeueLTStd-Th"/>
        </w:rPr>
        <w:t xml:space="preserve"> a specialized treatment program (Adolescent Substance Abuse Program, or ASAP) for youth with a concurrent substance abuse and mental health disorder</w:t>
      </w:r>
      <w:r w:rsidR="00825471">
        <w:rPr>
          <w:rFonts w:cs="HelveticaNeueLTStd-Th"/>
        </w:rPr>
        <w:t>. The program</w:t>
      </w:r>
      <w:r>
        <w:rPr>
          <w:rFonts w:cs="HelveticaNeueLTStd-Th"/>
        </w:rPr>
        <w:t xml:space="preserve"> works on a changes of stage model and is for offenders in open custody facilities; in addition, a longer term in-patient substance abuse program is offered through Portage which operates as a therapeutic community</w:t>
      </w:r>
      <w:r w:rsidR="004B7D21">
        <w:rPr>
          <w:rFonts w:cs="HelveticaNeueLTStd-Th"/>
        </w:rPr>
        <w:t xml:space="preserve"> and works to integrate </w:t>
      </w:r>
      <w:r w:rsidR="00352556">
        <w:rPr>
          <w:rFonts w:cs="HelveticaNeueLTStd-Th"/>
        </w:rPr>
        <w:t>youth</w:t>
      </w:r>
      <w:r w:rsidR="004B7D21">
        <w:rPr>
          <w:rFonts w:cs="HelveticaNeueLTStd-Th"/>
        </w:rPr>
        <w:t xml:space="preserve"> back into their communities through a re-entry phase and after care counselling (2005, p. 962.)</w:t>
      </w:r>
    </w:p>
    <w:p w:rsidR="004B7D21" w:rsidRDefault="004B7D21" w:rsidP="007472D3">
      <w:pPr>
        <w:autoSpaceDE w:val="0"/>
        <w:autoSpaceDN w:val="0"/>
        <w:adjustRightInd w:val="0"/>
        <w:spacing w:after="0" w:line="240" w:lineRule="auto"/>
        <w:rPr>
          <w:rFonts w:cs="HelveticaNeueLTStd-Th"/>
        </w:rPr>
      </w:pPr>
    </w:p>
    <w:p w:rsidR="00B76BAA" w:rsidRDefault="00D53AA7" w:rsidP="007472D3">
      <w:pPr>
        <w:autoSpaceDE w:val="0"/>
        <w:autoSpaceDN w:val="0"/>
        <w:adjustRightInd w:val="0"/>
        <w:spacing w:after="0" w:line="240" w:lineRule="auto"/>
        <w:rPr>
          <w:rFonts w:cs="HelveticaNeueLTStd-Th"/>
        </w:rPr>
      </w:pPr>
      <w:r>
        <w:rPr>
          <w:rFonts w:cs="HelveticaNeueLTStd-Th"/>
        </w:rPr>
        <w:t xml:space="preserve">Erickson and Butters (2005) report that </w:t>
      </w:r>
      <w:r w:rsidR="004B7D21">
        <w:rPr>
          <w:rFonts w:cs="HelveticaNeueLTStd-Th"/>
        </w:rPr>
        <w:t>Ontario youth corrections also implemented a community-based Multi</w:t>
      </w:r>
      <w:r w:rsidR="001F073F">
        <w:rPr>
          <w:rFonts w:cs="HelveticaNeueLTStd-Th"/>
        </w:rPr>
        <w:t>-</w:t>
      </w:r>
      <w:r w:rsidR="004B7D21">
        <w:rPr>
          <w:rFonts w:cs="HelveticaNeueLTStd-Th"/>
        </w:rPr>
        <w:t xml:space="preserve">systemic Therapy program that is located in the community and operates in the youth’s family home. The program </w:t>
      </w:r>
      <w:r w:rsidR="00E72A67">
        <w:rPr>
          <w:rFonts w:cs="HelveticaNeueLTStd-Th"/>
        </w:rPr>
        <w:t>is an amalgam of best practices that takes a social</w:t>
      </w:r>
      <w:r>
        <w:rPr>
          <w:rFonts w:cs="HelveticaNeueLTStd-Th"/>
        </w:rPr>
        <w:t>–</w:t>
      </w:r>
      <w:r w:rsidR="00E72A67">
        <w:rPr>
          <w:rFonts w:cs="HelveticaNeueLTStd-Th"/>
        </w:rPr>
        <w:t>ecological approach and recognizes</w:t>
      </w:r>
      <w:r>
        <w:rPr>
          <w:rFonts w:cs="HelveticaNeueLTStd-Th"/>
        </w:rPr>
        <w:t xml:space="preserve"> that</w:t>
      </w:r>
      <w:r w:rsidR="00E72A67">
        <w:rPr>
          <w:rFonts w:cs="HelveticaNeueLTStd-Th"/>
        </w:rPr>
        <w:t xml:space="preserve"> young offenders are often struggling with a constellation of problems</w:t>
      </w:r>
      <w:r>
        <w:rPr>
          <w:rFonts w:cs="HelveticaNeueLTStd-Th"/>
        </w:rPr>
        <w:t>,</w:t>
      </w:r>
      <w:r w:rsidR="00E72A67">
        <w:rPr>
          <w:rFonts w:cs="HelveticaNeueLTStd-Th"/>
        </w:rPr>
        <w:t xml:space="preserve"> includ</w:t>
      </w:r>
      <w:r>
        <w:rPr>
          <w:rFonts w:cs="HelveticaNeueLTStd-Th"/>
        </w:rPr>
        <w:t>ing</w:t>
      </w:r>
      <w:r w:rsidR="00E72A67">
        <w:rPr>
          <w:rFonts w:cs="HelveticaNeueLTStd-Th"/>
        </w:rPr>
        <w:t xml:space="preserve"> mental health and substance use disorders (Erickson &amp; Butters, 2005, p. 963). In order to be eligible for the program, youth must be assessed as having a high potential for future criminal conduct</w:t>
      </w:r>
      <w:r w:rsidR="00C54C24">
        <w:rPr>
          <w:rFonts w:cs="HelveticaNeueLTStd-Th"/>
        </w:rPr>
        <w:t>, an intact family that can meet the level of involvement required, and the youth must not be either a sex offender or manifesting acute psychosis as the program has not been empirically validated for either of these conditions (Erickson &amp; Butters, 2005, pp. 963-964.</w:t>
      </w:r>
      <w:r w:rsidR="00155557">
        <w:rPr>
          <w:rFonts w:cs="HelveticaNeueLTStd-Th"/>
        </w:rPr>
        <w:t xml:space="preserve"> </w:t>
      </w:r>
      <w:r w:rsidR="004B7D21">
        <w:rPr>
          <w:rFonts w:cs="HelveticaNeueLTStd-Th"/>
        </w:rPr>
        <w:t>Erickson and Butters</w:t>
      </w:r>
      <w:r w:rsidR="00C54C24">
        <w:rPr>
          <w:rFonts w:cs="HelveticaNeueLTStd-Th"/>
        </w:rPr>
        <w:t xml:space="preserve"> (2005) </w:t>
      </w:r>
      <w:r w:rsidR="004B7D21">
        <w:rPr>
          <w:rFonts w:cs="HelveticaNeueLTStd-Th"/>
        </w:rPr>
        <w:t>note that none of the programs</w:t>
      </w:r>
      <w:r w:rsidR="00C54C24">
        <w:rPr>
          <w:rFonts w:cs="HelveticaNeueLTStd-Th"/>
        </w:rPr>
        <w:t xml:space="preserve"> (with the exception of MST)</w:t>
      </w:r>
      <w:r w:rsidR="00155557">
        <w:rPr>
          <w:rFonts w:cs="HelveticaNeueLTStd-Th"/>
        </w:rPr>
        <w:t xml:space="preserve"> developed for Ontario</w:t>
      </w:r>
      <w:r w:rsidR="00C54C24">
        <w:rPr>
          <w:rFonts w:cs="HelveticaNeueLTStd-Th"/>
        </w:rPr>
        <w:t xml:space="preserve"> have been subjected to rigorous program evaluations or empirical validations, which raises some questions as to whether they are</w:t>
      </w:r>
      <w:r w:rsidR="00155557">
        <w:rPr>
          <w:rFonts w:cs="HelveticaNeueLTStd-Th"/>
        </w:rPr>
        <w:t>,</w:t>
      </w:r>
      <w:r w:rsidR="00C54C24">
        <w:rPr>
          <w:rFonts w:cs="HelveticaNeueLTStd-Th"/>
        </w:rPr>
        <w:t xml:space="preserve"> in fact</w:t>
      </w:r>
      <w:r w:rsidR="00155557">
        <w:rPr>
          <w:rFonts w:cs="HelveticaNeueLTStd-Th"/>
        </w:rPr>
        <w:t>,</w:t>
      </w:r>
      <w:r w:rsidR="00C54C24">
        <w:rPr>
          <w:rFonts w:cs="HelveticaNeueLTStd-Th"/>
        </w:rPr>
        <w:t xml:space="preserve"> effective programs.  </w:t>
      </w:r>
    </w:p>
    <w:p w:rsidR="00B76BAA" w:rsidRDefault="00B76BAA" w:rsidP="007472D3">
      <w:pPr>
        <w:autoSpaceDE w:val="0"/>
        <w:autoSpaceDN w:val="0"/>
        <w:adjustRightInd w:val="0"/>
        <w:spacing w:after="0" w:line="240" w:lineRule="auto"/>
        <w:rPr>
          <w:rFonts w:cs="HelveticaNeueLTStd-Th"/>
        </w:rPr>
      </w:pPr>
    </w:p>
    <w:p w:rsidR="004B6543" w:rsidRDefault="00C54C24" w:rsidP="007472D3">
      <w:pPr>
        <w:autoSpaceDE w:val="0"/>
        <w:autoSpaceDN w:val="0"/>
        <w:adjustRightInd w:val="0"/>
        <w:spacing w:after="0" w:line="240" w:lineRule="auto"/>
        <w:rPr>
          <w:rFonts w:cs="HelveticaNeueLTStd-Th"/>
        </w:rPr>
      </w:pPr>
      <w:r>
        <w:rPr>
          <w:rFonts w:cs="HelveticaNeueLTStd-Th"/>
        </w:rPr>
        <w:t xml:space="preserve">Dowden notes that </w:t>
      </w:r>
      <w:r w:rsidRPr="00F27FA9">
        <w:rPr>
          <w:rFonts w:cs="Times New Roman"/>
        </w:rPr>
        <w:t>“one of the key debates ... in the substance abuse treatment literature is how to define an effective program. More specifically, given the multiple areas that are affected by substance abusing behaviour, it has been extremely difficult for researchers to agree on a single or comprehensive se</w:t>
      </w:r>
      <w:r w:rsidR="00B76BAA">
        <w:rPr>
          <w:rFonts w:cs="Times New Roman"/>
        </w:rPr>
        <w:t xml:space="preserve">t of program success indicators” (2004, p. ii). Reviewers of published studies </w:t>
      </w:r>
      <w:r w:rsidR="00241DF7">
        <w:rPr>
          <w:rFonts w:cs="Times New Roman"/>
        </w:rPr>
        <w:t xml:space="preserve">on treatment efficacy </w:t>
      </w:r>
      <w:r w:rsidR="00B76BAA">
        <w:rPr>
          <w:rFonts w:cs="Times New Roman"/>
        </w:rPr>
        <w:t xml:space="preserve">(Williams &amp; Chang, 2000; </w:t>
      </w:r>
      <w:proofErr w:type="spellStart"/>
      <w:r w:rsidR="00B76BAA">
        <w:rPr>
          <w:rFonts w:cs="Times New Roman"/>
        </w:rPr>
        <w:t>Deas</w:t>
      </w:r>
      <w:proofErr w:type="spellEnd"/>
      <w:r w:rsidR="00B76BAA">
        <w:rPr>
          <w:rFonts w:cs="Times New Roman"/>
        </w:rPr>
        <w:t xml:space="preserve"> &amp; Thomas, 2001) have noted that not only are there not many studies on substance abuse programs designed specifically for adolescents, but that most of the studies</w:t>
      </w:r>
      <w:r w:rsidR="00912C25">
        <w:rPr>
          <w:rFonts w:cs="Times New Roman"/>
        </w:rPr>
        <w:t xml:space="preserve"> that do exist</w:t>
      </w:r>
      <w:r w:rsidR="00B76BAA">
        <w:rPr>
          <w:rFonts w:cs="Times New Roman"/>
        </w:rPr>
        <w:t xml:space="preserve"> are methodologically weak. </w:t>
      </w:r>
      <w:r w:rsidR="003879E6">
        <w:rPr>
          <w:rFonts w:cs="Times New Roman"/>
        </w:rPr>
        <w:t xml:space="preserve">Brown (2004) contends that </w:t>
      </w:r>
      <w:r w:rsidR="00EC60E9">
        <w:rPr>
          <w:rFonts w:cs="Times New Roman"/>
        </w:rPr>
        <w:t xml:space="preserve">in order to </w:t>
      </w:r>
      <w:r w:rsidR="00425D3E">
        <w:rPr>
          <w:rFonts w:cs="Times New Roman"/>
        </w:rPr>
        <w:t>“</w:t>
      </w:r>
      <w:r w:rsidR="00EC60E9">
        <w:rPr>
          <w:rFonts w:cs="Times New Roman"/>
        </w:rPr>
        <w:t xml:space="preserve">optimally evaluate adolescent treatment outcomes, it is important to </w:t>
      </w:r>
      <w:r w:rsidR="00425D3E">
        <w:rPr>
          <w:rFonts w:cs="Times New Roman"/>
        </w:rPr>
        <w:t>ensure that research designs and measures are a developmental fit with the context of what is often a challenging phase of life for adolescents.</w:t>
      </w:r>
      <w:r w:rsidR="00EC60E9">
        <w:rPr>
          <w:rFonts w:cs="Times New Roman"/>
        </w:rPr>
        <w:t xml:space="preserve">  </w:t>
      </w:r>
      <w:r w:rsidR="00B76BAA">
        <w:rPr>
          <w:rFonts w:cs="Times New Roman"/>
        </w:rPr>
        <w:t xml:space="preserve"> </w:t>
      </w:r>
    </w:p>
    <w:p w:rsidR="00B858E2" w:rsidRDefault="00B858E2" w:rsidP="0028700F">
      <w:pPr>
        <w:autoSpaceDE w:val="0"/>
        <w:autoSpaceDN w:val="0"/>
        <w:adjustRightInd w:val="0"/>
        <w:spacing w:after="0" w:line="240" w:lineRule="auto"/>
        <w:rPr>
          <w:rFonts w:cs="HelveticaNeueLTStd-Th"/>
        </w:rPr>
      </w:pPr>
    </w:p>
    <w:p w:rsidR="00B858E2" w:rsidRDefault="00B76BAA" w:rsidP="00B34834">
      <w:pPr>
        <w:autoSpaceDE w:val="0"/>
        <w:autoSpaceDN w:val="0"/>
        <w:adjustRightInd w:val="0"/>
        <w:spacing w:after="0" w:line="240" w:lineRule="auto"/>
      </w:pPr>
      <w:r>
        <w:rPr>
          <w:rFonts w:cs="HelveticaNeueLTStd-Th"/>
        </w:rPr>
        <w:t xml:space="preserve">Williams and Chang (2000) reviewed 53 studies and found that </w:t>
      </w:r>
      <w:r w:rsidR="00912C25">
        <w:rPr>
          <w:rFonts w:cs="HelveticaNeueLTStd-Th"/>
        </w:rPr>
        <w:t>most of them</w:t>
      </w:r>
      <w:r>
        <w:rPr>
          <w:rFonts w:cs="HelveticaNeueLTStd-Th"/>
        </w:rPr>
        <w:t xml:space="preserve"> were generally me</w:t>
      </w:r>
      <w:r w:rsidR="00B34834">
        <w:rPr>
          <w:rFonts w:cs="HelveticaNeueLTStd-Th"/>
        </w:rPr>
        <w:t>thodologically weak. They observed that the m</w:t>
      </w:r>
      <w:r w:rsidR="00B858E2" w:rsidRPr="00B858E2">
        <w:rPr>
          <w:rFonts w:cs="Arial"/>
        </w:rPr>
        <w:t xml:space="preserve">ethodologically stronger studies usually found </w:t>
      </w:r>
      <w:r w:rsidR="00C31D7F">
        <w:rPr>
          <w:rFonts w:cs="Arial"/>
        </w:rPr>
        <w:t xml:space="preserve">that </w:t>
      </w:r>
      <w:r w:rsidR="00B858E2" w:rsidRPr="00B858E2">
        <w:rPr>
          <w:rFonts w:cs="Arial"/>
        </w:rPr>
        <w:t xml:space="preserve">most adolescents receiving treatment </w:t>
      </w:r>
      <w:r w:rsidR="00C31D7F">
        <w:rPr>
          <w:rFonts w:cs="Arial"/>
        </w:rPr>
        <w:t>had</w:t>
      </w:r>
      <w:r w:rsidR="00B858E2" w:rsidRPr="00B858E2">
        <w:rPr>
          <w:rFonts w:cs="Arial"/>
        </w:rPr>
        <w:t xml:space="preserve"> significant reductions in substance use and problems in other life areas in the year following treatment</w:t>
      </w:r>
      <w:r w:rsidR="00B34834">
        <w:rPr>
          <w:rFonts w:cs="Arial"/>
        </w:rPr>
        <w:t xml:space="preserve"> (Williams &amp; Chang, 2000, p. 138)</w:t>
      </w:r>
      <w:r w:rsidR="00B858E2" w:rsidRPr="00B858E2">
        <w:rPr>
          <w:rFonts w:cs="Arial"/>
        </w:rPr>
        <w:t>.</w:t>
      </w:r>
      <w:r w:rsidR="00B34834">
        <w:rPr>
          <w:rFonts w:cs="Arial"/>
        </w:rPr>
        <w:t xml:space="preserve"> They noted that the a</w:t>
      </w:r>
      <w:r w:rsidR="00B858E2" w:rsidRPr="00B858E2">
        <w:rPr>
          <w:rFonts w:cs="Arial"/>
        </w:rPr>
        <w:t xml:space="preserve">verage rate of sustained abstinence after treatment </w:t>
      </w:r>
      <w:r w:rsidR="00B34834">
        <w:rPr>
          <w:rFonts w:cs="Arial"/>
        </w:rPr>
        <w:t>wa</w:t>
      </w:r>
      <w:r w:rsidR="00B858E2" w:rsidRPr="00B858E2">
        <w:rPr>
          <w:rFonts w:cs="Arial"/>
        </w:rPr>
        <w:t xml:space="preserve">s 38% (range, 30–55) at </w:t>
      </w:r>
      <w:r w:rsidR="00241DF7">
        <w:rPr>
          <w:rFonts w:cs="Arial"/>
        </w:rPr>
        <w:t>six</w:t>
      </w:r>
      <w:r w:rsidR="00B858E2" w:rsidRPr="00B858E2">
        <w:rPr>
          <w:rFonts w:cs="Arial"/>
        </w:rPr>
        <w:t xml:space="preserve"> months and 32% at 12 months (range, 14–47). </w:t>
      </w:r>
      <w:proofErr w:type="spellStart"/>
      <w:r w:rsidR="00B34834">
        <w:rPr>
          <w:rFonts w:cs="Arial"/>
        </w:rPr>
        <w:t>Wiillams</w:t>
      </w:r>
      <w:proofErr w:type="spellEnd"/>
      <w:r w:rsidR="00B34834">
        <w:rPr>
          <w:rFonts w:cs="Arial"/>
        </w:rPr>
        <w:t xml:space="preserve"> and Chang </w:t>
      </w:r>
      <w:r w:rsidR="00C31D7F">
        <w:rPr>
          <w:rFonts w:cs="Arial"/>
        </w:rPr>
        <w:t>found that while there were no particular merits to treatment location</w:t>
      </w:r>
      <w:r w:rsidR="00C57F3D">
        <w:rPr>
          <w:rFonts w:cs="Arial"/>
        </w:rPr>
        <w:t xml:space="preserve">, the type of treatment is important (a community reinforcement approach worked best for alcohol abuse, and behavioural programs were better than </w:t>
      </w:r>
      <w:proofErr w:type="spellStart"/>
      <w:r w:rsidR="00C57F3D">
        <w:rPr>
          <w:rFonts w:cs="Arial"/>
        </w:rPr>
        <w:t>nonbehavioral</w:t>
      </w:r>
      <w:proofErr w:type="spellEnd"/>
      <w:r w:rsidR="00C57F3D">
        <w:rPr>
          <w:rFonts w:cs="Arial"/>
        </w:rPr>
        <w:t xml:space="preserve"> treatment approaches for adolescents), and the quality of the therapist-client relationship was more important than the therapist’s </w:t>
      </w:r>
      <w:r w:rsidR="00F76AA9">
        <w:rPr>
          <w:rFonts w:cs="Arial"/>
        </w:rPr>
        <w:t>training, experience and discipline. William and Chang</w:t>
      </w:r>
      <w:r w:rsidR="00C31D7F">
        <w:rPr>
          <w:rFonts w:cs="Arial"/>
        </w:rPr>
        <w:t xml:space="preserve"> </w:t>
      </w:r>
      <w:r w:rsidR="00B34834">
        <w:rPr>
          <w:rFonts w:cs="Arial"/>
        </w:rPr>
        <w:t>concluded that the v</w:t>
      </w:r>
      <w:r w:rsidR="00B858E2" w:rsidRPr="00B858E2">
        <w:rPr>
          <w:rFonts w:cs="Arial"/>
        </w:rPr>
        <w:t xml:space="preserve">ariables </w:t>
      </w:r>
      <w:r w:rsidR="00B858E2" w:rsidRPr="00B858E2">
        <w:rPr>
          <w:rFonts w:cs="Arial"/>
        </w:rPr>
        <w:lastRenderedPageBreak/>
        <w:t xml:space="preserve">most consistently related to successful outcome </w:t>
      </w:r>
      <w:r w:rsidR="00B34834">
        <w:rPr>
          <w:rFonts w:cs="Arial"/>
        </w:rPr>
        <w:t>we</w:t>
      </w:r>
      <w:r w:rsidR="00B858E2" w:rsidRPr="00B858E2">
        <w:rPr>
          <w:rFonts w:cs="Arial"/>
        </w:rPr>
        <w:t>re treatment completion</w:t>
      </w:r>
      <w:r w:rsidR="009C377E">
        <w:rPr>
          <w:rStyle w:val="FootnoteReference"/>
          <w:rFonts w:cs="Arial"/>
        </w:rPr>
        <w:footnoteReference w:id="11"/>
      </w:r>
      <w:r w:rsidR="00B858E2" w:rsidRPr="00B858E2">
        <w:rPr>
          <w:rFonts w:cs="Arial"/>
        </w:rPr>
        <w:t>, low pre</w:t>
      </w:r>
      <w:r w:rsidR="00912C25">
        <w:rPr>
          <w:rFonts w:cs="Arial"/>
        </w:rPr>
        <w:t>-</w:t>
      </w:r>
      <w:r w:rsidR="00B858E2" w:rsidRPr="00B858E2">
        <w:rPr>
          <w:rFonts w:cs="Arial"/>
        </w:rPr>
        <w:t>treatment substance use, and peer/ parent social support/non</w:t>
      </w:r>
      <w:r w:rsidR="00155557">
        <w:rPr>
          <w:rFonts w:cs="Arial"/>
        </w:rPr>
        <w:t>-</w:t>
      </w:r>
      <w:r w:rsidR="00B858E2" w:rsidRPr="00B858E2">
        <w:rPr>
          <w:rFonts w:cs="Arial"/>
        </w:rPr>
        <w:t>use of substances</w:t>
      </w:r>
      <w:r w:rsidR="00155557">
        <w:rPr>
          <w:rFonts w:cs="Arial"/>
        </w:rPr>
        <w:t>. Williams and Chang also concluded</w:t>
      </w:r>
      <w:r w:rsidR="00B34834">
        <w:rPr>
          <w:rFonts w:cs="Arial"/>
        </w:rPr>
        <w:t xml:space="preserve"> that</w:t>
      </w:r>
      <w:r w:rsidR="00B858E2" w:rsidRPr="00B858E2">
        <w:rPr>
          <w:rFonts w:cs="Arial"/>
        </w:rPr>
        <w:t xml:space="preserve"> outpatient family therapy appears </w:t>
      </w:r>
      <w:r w:rsidR="00F76AA9">
        <w:rPr>
          <w:rFonts w:cs="Arial"/>
        </w:rPr>
        <w:t xml:space="preserve">to be </w:t>
      </w:r>
      <w:r w:rsidR="00B858E2" w:rsidRPr="00B858E2">
        <w:rPr>
          <w:rFonts w:cs="Arial"/>
        </w:rPr>
        <w:t>superior to other forms of outpatient treatment</w:t>
      </w:r>
      <w:r w:rsidR="00B34834">
        <w:rPr>
          <w:rFonts w:cs="Arial"/>
        </w:rPr>
        <w:t xml:space="preserve"> (2000, p. 138)</w:t>
      </w:r>
      <w:r w:rsidR="00B858E2" w:rsidRPr="00B858E2">
        <w:rPr>
          <w:rFonts w:cs="Arial"/>
        </w:rPr>
        <w:t>.</w:t>
      </w:r>
    </w:p>
    <w:p w:rsidR="00B858E2" w:rsidRDefault="00B858E2" w:rsidP="0033359F">
      <w:pPr>
        <w:autoSpaceDE w:val="0"/>
        <w:autoSpaceDN w:val="0"/>
        <w:adjustRightInd w:val="0"/>
        <w:spacing w:after="0" w:line="240" w:lineRule="auto"/>
      </w:pPr>
    </w:p>
    <w:p w:rsidR="00D93245" w:rsidRPr="00C47305" w:rsidRDefault="00191840" w:rsidP="00C47305">
      <w:pPr>
        <w:autoSpaceDE w:val="0"/>
        <w:autoSpaceDN w:val="0"/>
        <w:adjustRightInd w:val="0"/>
        <w:spacing w:after="0" w:line="240" w:lineRule="auto"/>
        <w:rPr>
          <w:rFonts w:cs="Times New Roman"/>
        </w:rPr>
      </w:pPr>
      <w:proofErr w:type="spellStart"/>
      <w:r>
        <w:rPr>
          <w:rFonts w:cs="Times New Roman"/>
        </w:rPr>
        <w:t>Deas</w:t>
      </w:r>
      <w:proofErr w:type="spellEnd"/>
      <w:r>
        <w:rPr>
          <w:rFonts w:cs="Times New Roman"/>
        </w:rPr>
        <w:t xml:space="preserve"> and Thomas (2001) conducted a review of only controlled studies of adolescent substance abuse treatment conducted between 1990 and 2000; they also noted the dearth of well-controlled studies. </w:t>
      </w:r>
      <w:proofErr w:type="spellStart"/>
      <w:r>
        <w:rPr>
          <w:rFonts w:cs="Times New Roman"/>
        </w:rPr>
        <w:t>Deas</w:t>
      </w:r>
      <w:proofErr w:type="spellEnd"/>
      <w:r>
        <w:rPr>
          <w:rFonts w:cs="Times New Roman"/>
        </w:rPr>
        <w:t xml:space="preserve"> and Thomas focused on five main types of treatment modalities: </w:t>
      </w:r>
      <w:r w:rsidR="00C47305" w:rsidRPr="00C47305">
        <w:rPr>
          <w:rFonts w:cs="Times New Roman"/>
        </w:rPr>
        <w:t>family-based and multi-systemic</w:t>
      </w:r>
      <w:r w:rsidR="00C47305">
        <w:rPr>
          <w:rFonts w:cs="Times New Roman"/>
        </w:rPr>
        <w:t xml:space="preserve"> </w:t>
      </w:r>
      <w:r w:rsidR="00C47305" w:rsidRPr="00C47305">
        <w:rPr>
          <w:rFonts w:cs="Times New Roman"/>
        </w:rPr>
        <w:t>interventions, behavioral therapy, cognitive behavioral therapy, pharmacotherapy, and twelve step approache</w:t>
      </w:r>
      <w:r>
        <w:rPr>
          <w:rFonts w:cs="Times New Roman"/>
        </w:rPr>
        <w:t>s (2001, p. 178)</w:t>
      </w:r>
      <w:r w:rsidR="00C47305" w:rsidRPr="00C47305">
        <w:rPr>
          <w:rFonts w:cs="Times New Roman"/>
        </w:rPr>
        <w:t xml:space="preserve">. </w:t>
      </w:r>
      <w:proofErr w:type="spellStart"/>
      <w:r>
        <w:rPr>
          <w:rFonts w:cs="Times New Roman"/>
        </w:rPr>
        <w:t>Deas</w:t>
      </w:r>
      <w:proofErr w:type="spellEnd"/>
      <w:r>
        <w:rPr>
          <w:rFonts w:cs="Times New Roman"/>
        </w:rPr>
        <w:t xml:space="preserve"> and Thomas concluded that although “</w:t>
      </w:r>
      <w:r w:rsidR="00C47305" w:rsidRPr="00C47305">
        <w:rPr>
          <w:rFonts w:cs="Times New Roman"/>
        </w:rPr>
        <w:t>the results look especially promising for cognitive behavioral therapy and family-based/multi-systemic</w:t>
      </w:r>
      <w:r w:rsidR="00C47305">
        <w:rPr>
          <w:rFonts w:cs="Times New Roman"/>
        </w:rPr>
        <w:t xml:space="preserve"> </w:t>
      </w:r>
      <w:r w:rsidR="00C47305" w:rsidRPr="00C47305">
        <w:rPr>
          <w:rFonts w:cs="Times New Roman"/>
        </w:rPr>
        <w:t>therapies for adolescents with SUDs, most of the relevant studies fail to utilize validated outcome measures, making it difficult to</w:t>
      </w:r>
      <w:r w:rsidR="00C47305">
        <w:rPr>
          <w:rFonts w:cs="Times New Roman"/>
        </w:rPr>
        <w:t xml:space="preserve"> </w:t>
      </w:r>
      <w:r w:rsidR="00C47305" w:rsidRPr="00C47305">
        <w:rPr>
          <w:rFonts w:cs="Times New Roman"/>
        </w:rPr>
        <w:t>conclude that one treatment approach is more effective than another</w:t>
      </w:r>
      <w:r>
        <w:rPr>
          <w:rFonts w:cs="Times New Roman"/>
        </w:rPr>
        <w:t>”</w:t>
      </w:r>
      <w:r w:rsidR="00C47305" w:rsidRPr="00C47305">
        <w:rPr>
          <w:rFonts w:cs="Times New Roman"/>
        </w:rPr>
        <w:t xml:space="preserve"> (</w:t>
      </w:r>
      <w:r>
        <w:rPr>
          <w:rFonts w:cs="Times New Roman"/>
        </w:rPr>
        <w:t xml:space="preserve">2001, </w:t>
      </w:r>
      <w:r w:rsidR="00C47305" w:rsidRPr="00C47305">
        <w:rPr>
          <w:rFonts w:cs="Times New Roman"/>
        </w:rPr>
        <w:t>p. 178)</w:t>
      </w:r>
      <w:r w:rsidR="00820F80">
        <w:rPr>
          <w:rFonts w:cs="Times New Roman"/>
        </w:rPr>
        <w:t>.</w:t>
      </w:r>
    </w:p>
    <w:p w:rsidR="00820F80" w:rsidRDefault="00820F80" w:rsidP="00534A63">
      <w:pPr>
        <w:autoSpaceDE w:val="0"/>
        <w:autoSpaceDN w:val="0"/>
        <w:adjustRightInd w:val="0"/>
        <w:spacing w:after="0" w:line="240" w:lineRule="auto"/>
        <w:rPr>
          <w:rFonts w:cs="Arial"/>
        </w:rPr>
      </w:pPr>
    </w:p>
    <w:p w:rsidR="00BD3592" w:rsidRDefault="00782DE6" w:rsidP="00534A63">
      <w:pPr>
        <w:autoSpaceDE w:val="0"/>
        <w:autoSpaceDN w:val="0"/>
        <w:adjustRightInd w:val="0"/>
        <w:spacing w:after="0" w:line="240" w:lineRule="auto"/>
        <w:rPr>
          <w:rFonts w:cs="Arial"/>
        </w:rPr>
      </w:pPr>
      <w:r>
        <w:rPr>
          <w:rFonts w:cs="Arial"/>
        </w:rPr>
        <w:t xml:space="preserve">Diamond, Godley, </w:t>
      </w:r>
      <w:r w:rsidR="009C0A99">
        <w:rPr>
          <w:rFonts w:cs="Arial"/>
        </w:rPr>
        <w:t xml:space="preserve">et al (2002) </w:t>
      </w:r>
      <w:r w:rsidR="007A0558">
        <w:rPr>
          <w:rFonts w:cs="Arial"/>
        </w:rPr>
        <w:t xml:space="preserve">assessed five outpatient models designed to treat adolescents marijuana misuse. </w:t>
      </w:r>
      <w:r w:rsidR="00BD3592">
        <w:rPr>
          <w:rFonts w:cs="Arial"/>
        </w:rPr>
        <w:t xml:space="preserve">The five models tested involved </w:t>
      </w:r>
      <w:r w:rsidR="00AA3650">
        <w:rPr>
          <w:rFonts w:cs="Arial"/>
        </w:rPr>
        <w:t>a 6-week and 12-week</w:t>
      </w:r>
      <w:r w:rsidR="00BD3592">
        <w:rPr>
          <w:rFonts w:cs="Arial"/>
        </w:rPr>
        <w:t xml:space="preserve"> combination of motivational enhancement therapy (MET) and</w:t>
      </w:r>
      <w:r w:rsidR="00AA3650">
        <w:rPr>
          <w:rFonts w:cs="Arial"/>
        </w:rPr>
        <w:t xml:space="preserve"> group cognitive behavioural therapy</w:t>
      </w:r>
      <w:r w:rsidR="00BD3592">
        <w:rPr>
          <w:rFonts w:cs="Arial"/>
        </w:rPr>
        <w:t xml:space="preserve"> </w:t>
      </w:r>
      <w:r w:rsidR="00AA3650">
        <w:rPr>
          <w:rFonts w:cs="Arial"/>
        </w:rPr>
        <w:t>(CBT)</w:t>
      </w:r>
      <w:r w:rsidR="007D7083">
        <w:rPr>
          <w:rFonts w:cs="Arial"/>
        </w:rPr>
        <w:t>;</w:t>
      </w:r>
      <w:r w:rsidR="00AA3650">
        <w:rPr>
          <w:rFonts w:cs="Arial"/>
        </w:rPr>
        <w:t xml:space="preserve"> MET/CBT12 plus a family support network</w:t>
      </w:r>
      <w:r w:rsidR="007D7083">
        <w:rPr>
          <w:rFonts w:cs="Arial"/>
        </w:rPr>
        <w:t>;</w:t>
      </w:r>
      <w:r w:rsidR="00AA3650">
        <w:rPr>
          <w:rFonts w:cs="Arial"/>
        </w:rPr>
        <w:t xml:space="preserve"> a multi</w:t>
      </w:r>
      <w:r w:rsidR="001F073F">
        <w:rPr>
          <w:rFonts w:cs="Arial"/>
        </w:rPr>
        <w:t>-</w:t>
      </w:r>
      <w:r w:rsidR="00AA3650">
        <w:rPr>
          <w:rFonts w:cs="Arial"/>
        </w:rPr>
        <w:t>component intervention consisting of parental education, family therapy</w:t>
      </w:r>
      <w:r w:rsidR="007D7083">
        <w:rPr>
          <w:rFonts w:cs="Arial"/>
        </w:rPr>
        <w:t xml:space="preserve"> and case management; a 12-week intervention based on the adolescent community reinforcement approach (ACRA); and multi-dimensional family therapy (MDFT).</w:t>
      </w:r>
      <w:r w:rsidR="00957F66">
        <w:rPr>
          <w:rFonts w:cs="Arial"/>
        </w:rPr>
        <w:t xml:space="preserve"> Diamond, Godley, et al found that all five models showed promising results for brief periods of treatment.</w:t>
      </w:r>
      <w:r w:rsidR="007D7083">
        <w:rPr>
          <w:rFonts w:cs="Arial"/>
        </w:rPr>
        <w:t xml:space="preserve"> </w:t>
      </w:r>
    </w:p>
    <w:p w:rsidR="00AA3650" w:rsidRDefault="00AA3650" w:rsidP="00534A63">
      <w:pPr>
        <w:autoSpaceDE w:val="0"/>
        <w:autoSpaceDN w:val="0"/>
        <w:adjustRightInd w:val="0"/>
        <w:spacing w:after="0" w:line="240" w:lineRule="auto"/>
        <w:rPr>
          <w:rFonts w:cs="Arial"/>
        </w:rPr>
      </w:pPr>
    </w:p>
    <w:p w:rsidR="00220C8F" w:rsidRDefault="00220C8F" w:rsidP="004B7DD2">
      <w:pPr>
        <w:autoSpaceDE w:val="0"/>
        <w:autoSpaceDN w:val="0"/>
        <w:adjustRightInd w:val="0"/>
        <w:spacing w:after="0" w:line="240" w:lineRule="auto"/>
        <w:rPr>
          <w:rFonts w:cs="Times New Roman"/>
        </w:rPr>
      </w:pPr>
      <w:r>
        <w:rPr>
          <w:rFonts w:cs="Times New Roman"/>
        </w:rPr>
        <w:t xml:space="preserve">Several questions that were not addressed in some of the earlier studies and reviews were whether the subjects also had a trauma history in addition to a substance abuse disorder, and whether the poor self-regulation skills found in many traumatized youth </w:t>
      </w:r>
      <w:r w:rsidR="00CC0CCA">
        <w:rPr>
          <w:rFonts w:cs="Times New Roman"/>
        </w:rPr>
        <w:t>might also be affecting treatment outcome, particularly if the programs are not trauma informed.</w:t>
      </w:r>
      <w:r>
        <w:rPr>
          <w:rFonts w:cs="Times New Roman"/>
        </w:rPr>
        <w:t xml:space="preserve"> </w:t>
      </w:r>
      <w:r w:rsidR="00160370">
        <w:rPr>
          <w:rFonts w:cs="Times New Roman"/>
        </w:rPr>
        <w:t>Several researchers have since investigate</w:t>
      </w:r>
      <w:r w:rsidR="008571FA">
        <w:rPr>
          <w:rFonts w:cs="Times New Roman"/>
        </w:rPr>
        <w:t>d</w:t>
      </w:r>
      <w:r w:rsidR="00160370">
        <w:rPr>
          <w:rFonts w:cs="Times New Roman"/>
        </w:rPr>
        <w:t xml:space="preserve"> this question</w:t>
      </w:r>
      <w:r w:rsidR="00136CE0">
        <w:rPr>
          <w:rFonts w:cs="Times New Roman"/>
        </w:rPr>
        <w:t xml:space="preserve"> and found that trauma symptoms influence treatment outcome</w:t>
      </w:r>
      <w:r w:rsidR="008571FA">
        <w:rPr>
          <w:rFonts w:cs="Times New Roman"/>
        </w:rPr>
        <w:t xml:space="preserve">. In a 2003 study, </w:t>
      </w:r>
      <w:proofErr w:type="spellStart"/>
      <w:r w:rsidR="008571FA">
        <w:rPr>
          <w:rFonts w:cs="Times New Roman"/>
        </w:rPr>
        <w:t>Grella</w:t>
      </w:r>
      <w:proofErr w:type="spellEnd"/>
      <w:r w:rsidR="008571FA">
        <w:rPr>
          <w:rFonts w:cs="Times New Roman"/>
        </w:rPr>
        <w:t xml:space="preserve"> and Joshi found that (1) adolescents with a history of physical abuse had a lower likelihood of abstinence after treatment ended unless they had a strong rapport with their counsellors; (2) abused adolescents had more service needs at treatment a</w:t>
      </w:r>
      <w:r w:rsidR="00E5033C">
        <w:rPr>
          <w:rFonts w:cs="Times New Roman"/>
        </w:rPr>
        <w:t xml:space="preserve">dmission; and (3) attention to treatment processes and engagement strategies is crucial for treating youths’ substance use disorders if the youth have a history of abuse. A study of </w:t>
      </w:r>
      <w:r w:rsidR="00AD28DC">
        <w:rPr>
          <w:rFonts w:cs="Times New Roman"/>
        </w:rPr>
        <w:t>adolescents in a long-term residential drug treatment program found that trauma exposed adolescents without PTSD left treatment sooner than adolescents who had not been exposed to trauma</w:t>
      </w:r>
      <w:r w:rsidR="00E5033C">
        <w:rPr>
          <w:rFonts w:cs="Times New Roman"/>
        </w:rPr>
        <w:t xml:space="preserve"> </w:t>
      </w:r>
      <w:r w:rsidR="00AD28DC">
        <w:rPr>
          <w:rFonts w:cs="Times New Roman"/>
        </w:rPr>
        <w:t>(</w:t>
      </w:r>
      <w:proofErr w:type="spellStart"/>
      <w:r w:rsidR="00E5033C">
        <w:rPr>
          <w:rFonts w:cs="Times New Roman"/>
        </w:rPr>
        <w:t>Jaycox</w:t>
      </w:r>
      <w:proofErr w:type="spellEnd"/>
      <w:r w:rsidR="00E5033C">
        <w:rPr>
          <w:rFonts w:cs="Times New Roman"/>
        </w:rPr>
        <w:t xml:space="preserve">, </w:t>
      </w:r>
      <w:proofErr w:type="spellStart"/>
      <w:r w:rsidR="00E5033C">
        <w:rPr>
          <w:rFonts w:cs="Times New Roman"/>
        </w:rPr>
        <w:t>Ebener</w:t>
      </w:r>
      <w:proofErr w:type="spellEnd"/>
      <w:r w:rsidR="00E5033C">
        <w:rPr>
          <w:rFonts w:cs="Times New Roman"/>
        </w:rPr>
        <w:t xml:space="preserve">, </w:t>
      </w:r>
      <w:proofErr w:type="spellStart"/>
      <w:r w:rsidR="00E5033C">
        <w:rPr>
          <w:rFonts w:cs="Times New Roman"/>
        </w:rPr>
        <w:t>Damasek</w:t>
      </w:r>
      <w:proofErr w:type="spellEnd"/>
      <w:r w:rsidR="00E5033C">
        <w:rPr>
          <w:rFonts w:cs="Times New Roman"/>
        </w:rPr>
        <w:t xml:space="preserve"> and Becker</w:t>
      </w:r>
      <w:r w:rsidR="00AD28DC">
        <w:rPr>
          <w:rFonts w:cs="Times New Roman"/>
        </w:rPr>
        <w:t xml:space="preserve">, 2004). </w:t>
      </w:r>
      <w:r w:rsidR="0060642C">
        <w:rPr>
          <w:rFonts w:cs="Times New Roman"/>
        </w:rPr>
        <w:t xml:space="preserve">Ford, Hawke, </w:t>
      </w:r>
      <w:proofErr w:type="spellStart"/>
      <w:r w:rsidR="0060642C">
        <w:rPr>
          <w:rFonts w:cs="Times New Roman"/>
        </w:rPr>
        <w:t>Alessi</w:t>
      </w:r>
      <w:proofErr w:type="spellEnd"/>
      <w:r w:rsidR="0060642C">
        <w:rPr>
          <w:rFonts w:cs="Times New Roman"/>
        </w:rPr>
        <w:t xml:space="preserve">, </w:t>
      </w:r>
      <w:proofErr w:type="spellStart"/>
      <w:r w:rsidR="0060642C">
        <w:rPr>
          <w:rFonts w:cs="Times New Roman"/>
        </w:rPr>
        <w:t>Ledgerwood</w:t>
      </w:r>
      <w:proofErr w:type="spellEnd"/>
      <w:r w:rsidR="0060642C">
        <w:rPr>
          <w:rFonts w:cs="Times New Roman"/>
        </w:rPr>
        <w:t xml:space="preserve"> and Petri (2007)</w:t>
      </w:r>
      <w:r w:rsidR="00AD28DC">
        <w:rPr>
          <w:rFonts w:cs="Times New Roman"/>
        </w:rPr>
        <w:t xml:space="preserve"> examined psychological trauma and PTSD symptoms as predictors of substance </w:t>
      </w:r>
      <w:r w:rsidR="0060642C">
        <w:rPr>
          <w:rFonts w:cs="Times New Roman"/>
        </w:rPr>
        <w:t xml:space="preserve">treatment outcomes in </w:t>
      </w:r>
      <w:proofErr w:type="spellStart"/>
      <w:r w:rsidR="0060642C">
        <w:rPr>
          <w:rFonts w:cs="Times New Roman"/>
        </w:rPr>
        <w:t>opiode</w:t>
      </w:r>
      <w:proofErr w:type="spellEnd"/>
      <w:r w:rsidR="0060642C">
        <w:rPr>
          <w:rFonts w:cs="Times New Roman"/>
        </w:rPr>
        <w:t xml:space="preserve">-or cocaine-dependent adults. Ford et al found that </w:t>
      </w:r>
      <w:r w:rsidR="00136CE0">
        <w:rPr>
          <w:rFonts w:cs="Times New Roman"/>
        </w:rPr>
        <w:t>complex PTSD symptoms were inversely related to short-term treatment but PTSD symptoms were positively related to long term treatment outcomes (2007).</w:t>
      </w:r>
      <w:r w:rsidR="0060642C">
        <w:rPr>
          <w:rFonts w:cs="Times New Roman"/>
        </w:rPr>
        <w:t xml:space="preserve"> </w:t>
      </w:r>
    </w:p>
    <w:p w:rsidR="00522DB4" w:rsidRDefault="00522DB4" w:rsidP="004B7DD2">
      <w:pPr>
        <w:autoSpaceDE w:val="0"/>
        <w:autoSpaceDN w:val="0"/>
        <w:adjustRightInd w:val="0"/>
        <w:spacing w:after="0" w:line="240" w:lineRule="auto"/>
        <w:rPr>
          <w:rFonts w:cs="Times New Roman"/>
        </w:rPr>
      </w:pPr>
    </w:p>
    <w:p w:rsidR="00522DB4" w:rsidRDefault="00522DB4" w:rsidP="004B7DD2">
      <w:pPr>
        <w:autoSpaceDE w:val="0"/>
        <w:autoSpaceDN w:val="0"/>
        <w:adjustRightInd w:val="0"/>
        <w:spacing w:after="0" w:line="240" w:lineRule="auto"/>
        <w:rPr>
          <w:rFonts w:cs="Times New Roman"/>
          <w:b/>
        </w:rPr>
      </w:pPr>
    </w:p>
    <w:p w:rsidR="006A7E2D" w:rsidRPr="00050641" w:rsidRDefault="006A7E2D" w:rsidP="006A7E2D">
      <w:pPr>
        <w:autoSpaceDE w:val="0"/>
        <w:autoSpaceDN w:val="0"/>
        <w:adjustRightInd w:val="0"/>
        <w:spacing w:after="0" w:line="240" w:lineRule="auto"/>
        <w:rPr>
          <w:rFonts w:cs="HelveticaNeueLTStd-Th"/>
          <w:b/>
        </w:rPr>
      </w:pPr>
      <w:r w:rsidRPr="00050641">
        <w:rPr>
          <w:rFonts w:cs="HelveticaNeueLTStd-Th"/>
          <w:b/>
        </w:rPr>
        <w:t xml:space="preserve">Posttraumatic </w:t>
      </w:r>
      <w:proofErr w:type="spellStart"/>
      <w:r w:rsidRPr="00050641">
        <w:rPr>
          <w:rFonts w:cs="HelveticaNeueLTStd-Th"/>
          <w:b/>
        </w:rPr>
        <w:t>Dysregulation</w:t>
      </w:r>
      <w:proofErr w:type="spellEnd"/>
      <w:r w:rsidRPr="00050641">
        <w:rPr>
          <w:rFonts w:cs="HelveticaNeueLTStd-Th"/>
          <w:b/>
        </w:rPr>
        <w:t xml:space="preserve">: Relevance to </w:t>
      </w:r>
      <w:r>
        <w:rPr>
          <w:rFonts w:cs="HelveticaNeueLTStd-Th"/>
          <w:b/>
        </w:rPr>
        <w:t>Custodia</w:t>
      </w:r>
      <w:r w:rsidRPr="00050641">
        <w:rPr>
          <w:rFonts w:cs="HelveticaNeueLTStd-Th"/>
          <w:b/>
        </w:rPr>
        <w:t>l Juvenile Justice Programs</w:t>
      </w:r>
      <w:r>
        <w:rPr>
          <w:rFonts w:cs="HelveticaNeueLTStd-Th"/>
          <w:b/>
        </w:rPr>
        <w:t xml:space="preserve"> and Residential Treatment</w:t>
      </w:r>
    </w:p>
    <w:p w:rsidR="006A7E2D" w:rsidRDefault="006A7E2D" w:rsidP="006A7E2D">
      <w:pPr>
        <w:autoSpaceDE w:val="0"/>
        <w:autoSpaceDN w:val="0"/>
        <w:adjustRightInd w:val="0"/>
        <w:spacing w:after="0" w:line="240" w:lineRule="auto"/>
        <w:rPr>
          <w:rFonts w:cs="HelveticaNeueLTStd-Th"/>
        </w:rPr>
      </w:pPr>
      <w:r>
        <w:rPr>
          <w:rFonts w:cs="HelveticaNeueLTStd-Th"/>
        </w:rPr>
        <w:t xml:space="preserve">Adolescents with complex trauma histories make up a substantial portion of the population in custody centres and juvenile justice residential facilities, yet according to </w:t>
      </w:r>
      <w:proofErr w:type="spellStart"/>
      <w:r>
        <w:rPr>
          <w:rFonts w:cs="HelveticaNeueLTStd-Th"/>
        </w:rPr>
        <w:t>Mueser</w:t>
      </w:r>
      <w:proofErr w:type="spellEnd"/>
      <w:r>
        <w:rPr>
          <w:rFonts w:cs="HelveticaNeueLTStd-Th"/>
        </w:rPr>
        <w:t xml:space="preserve"> and </w:t>
      </w:r>
      <w:proofErr w:type="spellStart"/>
      <w:r>
        <w:rPr>
          <w:rFonts w:cs="HelveticaNeueLTStd-Th"/>
        </w:rPr>
        <w:t>Taub</w:t>
      </w:r>
      <w:proofErr w:type="spellEnd"/>
      <w:r>
        <w:rPr>
          <w:rFonts w:cs="HelveticaNeueLTStd-Th"/>
        </w:rPr>
        <w:t xml:space="preserve">, </w:t>
      </w:r>
      <w:r w:rsidR="001F073F">
        <w:rPr>
          <w:rFonts w:cs="HelveticaNeueLTStd-Th"/>
        </w:rPr>
        <w:t>“</w:t>
      </w:r>
      <w:r>
        <w:rPr>
          <w:rFonts w:cs="HelveticaNeueLTStd-Th"/>
        </w:rPr>
        <w:t xml:space="preserve">PTSD may be </w:t>
      </w:r>
      <w:r>
        <w:rPr>
          <w:rFonts w:cs="HelveticaNeueLTStd-Th"/>
        </w:rPr>
        <w:lastRenderedPageBreak/>
        <w:t xml:space="preserve">significantly under-diagnosed in facility records” (2008; cited in Ford &amp; </w:t>
      </w:r>
      <w:proofErr w:type="spellStart"/>
      <w:r>
        <w:rPr>
          <w:rFonts w:cs="HelveticaNeueLTStd-Th"/>
        </w:rPr>
        <w:t>Blaustein</w:t>
      </w:r>
      <w:proofErr w:type="spellEnd"/>
      <w:r>
        <w:rPr>
          <w:rFonts w:cs="HelveticaNeueLTStd-Th"/>
        </w:rPr>
        <w:t xml:space="preserve">, 2013, p. 2). As Ford and </w:t>
      </w:r>
      <w:proofErr w:type="spellStart"/>
      <w:r>
        <w:rPr>
          <w:rFonts w:cs="HelveticaNeueLTStd-Th"/>
        </w:rPr>
        <w:t>Blaustein</w:t>
      </w:r>
      <w:proofErr w:type="spellEnd"/>
      <w:r>
        <w:rPr>
          <w:rFonts w:cs="HelveticaNeueLTStd-Th"/>
        </w:rPr>
        <w:t xml:space="preserve"> note, “many detained youth meet criteria for a wide range of affective, anxiety, behavioural, and substance use disorders,” yet even when their histories of complex psychological trauma are documented as part of the assessment and diagnostic process, they are often not given a definitive PTSD diagnosis (2013, p. 2). Often this is because the </w:t>
      </w:r>
      <w:r w:rsidR="00352556">
        <w:rPr>
          <w:rFonts w:cs="HelveticaNeueLTStd-Th"/>
        </w:rPr>
        <w:t>youth</w:t>
      </w:r>
      <w:r>
        <w:rPr>
          <w:rFonts w:cs="HelveticaNeueLTStd-Th"/>
        </w:rPr>
        <w:t xml:space="preserve"> do not strictly meet the narrow diagnostic requirements for PTSD. Instead, they often receive multiple diagnoses that may not be accurate and subsequently lead to </w:t>
      </w:r>
      <w:proofErr w:type="spellStart"/>
      <w:r>
        <w:rPr>
          <w:rFonts w:cs="HelveticaNeueLTStd-Th"/>
        </w:rPr>
        <w:t>undertreatment</w:t>
      </w:r>
      <w:proofErr w:type="spellEnd"/>
      <w:r>
        <w:rPr>
          <w:rFonts w:cs="HelveticaNeueLTStd-Th"/>
        </w:rPr>
        <w:t>, overtreatment, or unhelpful treatment (</w:t>
      </w:r>
      <w:proofErr w:type="spellStart"/>
      <w:r>
        <w:rPr>
          <w:rFonts w:cs="HelveticaNeueLTStd-Th"/>
        </w:rPr>
        <w:t>D’Andrea</w:t>
      </w:r>
      <w:proofErr w:type="spellEnd"/>
      <w:r>
        <w:rPr>
          <w:rFonts w:cs="HelveticaNeueLTStd-Th"/>
        </w:rPr>
        <w:t xml:space="preserve">, </w:t>
      </w:r>
      <w:proofErr w:type="spellStart"/>
      <w:r>
        <w:rPr>
          <w:rFonts w:cs="HelveticaNeueLTStd-Th"/>
        </w:rPr>
        <w:t>Stolbach</w:t>
      </w:r>
      <w:proofErr w:type="spellEnd"/>
      <w:r>
        <w:rPr>
          <w:rFonts w:cs="HelveticaNeueLTStd-Th"/>
        </w:rPr>
        <w:t xml:space="preserve">, Ford, Spinazzola &amp; van </w:t>
      </w:r>
      <w:proofErr w:type="spellStart"/>
      <w:r>
        <w:rPr>
          <w:rFonts w:cs="HelveticaNeueLTStd-Th"/>
        </w:rPr>
        <w:t>der</w:t>
      </w:r>
      <w:proofErr w:type="spellEnd"/>
      <w:r>
        <w:rPr>
          <w:rFonts w:cs="HelveticaNeueLTStd-Th"/>
        </w:rPr>
        <w:t xml:space="preserve"> </w:t>
      </w:r>
      <w:proofErr w:type="spellStart"/>
      <w:r>
        <w:rPr>
          <w:rFonts w:cs="HelveticaNeueLTStd-Th"/>
        </w:rPr>
        <w:t>Kolk</w:t>
      </w:r>
      <w:proofErr w:type="spellEnd"/>
      <w:r w:rsidR="00182CAF">
        <w:rPr>
          <w:rFonts w:cs="HelveticaNeueLTStd-Th"/>
        </w:rPr>
        <w:t>,</w:t>
      </w:r>
      <w:r>
        <w:rPr>
          <w:rFonts w:cs="HelveticaNeueLTStd-Th"/>
        </w:rPr>
        <w:t xml:space="preserve"> 2012</w:t>
      </w:r>
      <w:r w:rsidR="00182CAF">
        <w:rPr>
          <w:rFonts w:cs="HelveticaNeueLTStd-Th"/>
        </w:rPr>
        <w:t xml:space="preserve">, cited in </w:t>
      </w:r>
      <w:proofErr w:type="spellStart"/>
      <w:r w:rsidR="00182CAF">
        <w:rPr>
          <w:rFonts w:cs="HelveticaNeueLTStd-Th"/>
        </w:rPr>
        <w:t>Zelechoski</w:t>
      </w:r>
      <w:proofErr w:type="spellEnd"/>
      <w:r w:rsidR="00182CAF">
        <w:rPr>
          <w:rFonts w:cs="HelveticaNeueLTStd-Th"/>
        </w:rPr>
        <w:t xml:space="preserve"> et al, 2013</w:t>
      </w:r>
      <w:r>
        <w:rPr>
          <w:rFonts w:cs="HelveticaNeueLTStd-Th"/>
        </w:rPr>
        <w:t xml:space="preserve">). </w:t>
      </w:r>
    </w:p>
    <w:p w:rsidR="00182CAF" w:rsidRDefault="00182CAF" w:rsidP="006A7E2D">
      <w:pPr>
        <w:autoSpaceDE w:val="0"/>
        <w:autoSpaceDN w:val="0"/>
        <w:adjustRightInd w:val="0"/>
        <w:spacing w:after="0" w:line="240" w:lineRule="auto"/>
        <w:rPr>
          <w:rFonts w:cs="HelveticaNeueLTStd-Th"/>
        </w:rPr>
      </w:pPr>
    </w:p>
    <w:p w:rsidR="006A7E2D" w:rsidRDefault="006A7E2D" w:rsidP="006A7E2D">
      <w:pPr>
        <w:autoSpaceDE w:val="0"/>
        <w:autoSpaceDN w:val="0"/>
        <w:adjustRightInd w:val="0"/>
        <w:spacing w:after="0" w:line="240" w:lineRule="auto"/>
        <w:rPr>
          <w:rFonts w:cs="HelveticaNeueLTStd-Th"/>
        </w:rPr>
      </w:pPr>
      <w:r>
        <w:rPr>
          <w:rFonts w:cs="HelveticaNeueLTStd-Th"/>
        </w:rPr>
        <w:t xml:space="preserve">Traumatized </w:t>
      </w:r>
      <w:r w:rsidR="00352556">
        <w:rPr>
          <w:rFonts w:cs="HelveticaNeueLTStd-Th"/>
        </w:rPr>
        <w:t>youth</w:t>
      </w:r>
      <w:r>
        <w:rPr>
          <w:rFonts w:cs="HelveticaNeueLTStd-Th"/>
        </w:rPr>
        <w:t xml:space="preserve"> committed to youth detention centres are often coping with significant functional impairment and </w:t>
      </w:r>
      <w:proofErr w:type="spellStart"/>
      <w:r>
        <w:rPr>
          <w:rFonts w:cs="HelveticaNeueLTStd-Th"/>
        </w:rPr>
        <w:t>dysregulation</w:t>
      </w:r>
      <w:proofErr w:type="spellEnd"/>
      <w:r>
        <w:rPr>
          <w:rFonts w:cs="HelveticaNeueLTStd-Th"/>
        </w:rPr>
        <w:t xml:space="preserve"> as a result of trauma-induced compromise to three major regulating systems in the brain: the reward/motivation systems, the distress tolerance systems, and the executive systems that regulate emotions and information processing (Thayer et al, 2009, cited in Ford &amp; </w:t>
      </w:r>
      <w:proofErr w:type="spellStart"/>
      <w:r>
        <w:rPr>
          <w:rFonts w:cs="HelveticaNeueLTStd-Th"/>
        </w:rPr>
        <w:t>Blaustein</w:t>
      </w:r>
      <w:proofErr w:type="spellEnd"/>
      <w:r>
        <w:rPr>
          <w:rFonts w:cs="HelveticaNeueLTStd-Th"/>
        </w:rPr>
        <w:t xml:space="preserve">, 2013, p. 3). Given these compromised self-regulation systems, traumatized </w:t>
      </w:r>
      <w:r w:rsidRPr="000C3B0A">
        <w:rPr>
          <w:rFonts w:cs="HelveticaNeueLTStd-Th"/>
        </w:rPr>
        <w:t xml:space="preserve">youth in </w:t>
      </w:r>
      <w:r>
        <w:rPr>
          <w:rFonts w:cs="HelveticaNeueLTStd-Th"/>
        </w:rPr>
        <w:t>detention centres and residential treatment facilities</w:t>
      </w:r>
      <w:r w:rsidRPr="000C3B0A">
        <w:rPr>
          <w:rFonts w:cs="HelveticaNeueLTStd-Th"/>
        </w:rPr>
        <w:t xml:space="preserve"> likely</w:t>
      </w:r>
      <w:r>
        <w:rPr>
          <w:rFonts w:cs="HelveticaNeueLTStd-Th"/>
        </w:rPr>
        <w:t xml:space="preserve"> find themselves having </w:t>
      </w:r>
      <w:r w:rsidRPr="000C3B0A">
        <w:rPr>
          <w:rFonts w:cs="HelveticaNeueLTStd-Th"/>
        </w:rPr>
        <w:t xml:space="preserve">to have to cope with biological adaptations that </w:t>
      </w:r>
      <w:r>
        <w:rPr>
          <w:rFonts w:cs="HelveticaNeueLTStd-Th"/>
        </w:rPr>
        <w:t xml:space="preserve">impede </w:t>
      </w:r>
      <w:r w:rsidRPr="000C3B0A">
        <w:rPr>
          <w:rFonts w:cs="HelveticaNeueLTStd-Th"/>
        </w:rPr>
        <w:t xml:space="preserve">their ability to delay gratification and make them prone to both excessive and blunted emotional reactions, </w:t>
      </w:r>
      <w:r>
        <w:rPr>
          <w:rFonts w:cs="HelveticaNeueLTStd-Th"/>
        </w:rPr>
        <w:t>as well as r</w:t>
      </w:r>
      <w:r w:rsidRPr="000C3B0A">
        <w:rPr>
          <w:rFonts w:cs="HelveticaNeueLTStd-Th"/>
        </w:rPr>
        <w:t>igid, impulsive, and disorganized thinking and coping styles (Ford 2009; Steinberg 2009</w:t>
      </w:r>
      <w:r>
        <w:rPr>
          <w:rFonts w:cs="HelveticaNeueLTStd-Th"/>
        </w:rPr>
        <w:t xml:space="preserve">; cited in Ford &amp; </w:t>
      </w:r>
      <w:proofErr w:type="spellStart"/>
      <w:r>
        <w:rPr>
          <w:rFonts w:cs="HelveticaNeueLTStd-Th"/>
        </w:rPr>
        <w:t>Blaustein</w:t>
      </w:r>
      <w:proofErr w:type="spellEnd"/>
      <w:r>
        <w:rPr>
          <w:rFonts w:cs="HelveticaNeueLTStd-Th"/>
        </w:rPr>
        <w:t>, 2013, p.3</w:t>
      </w:r>
      <w:r w:rsidRPr="000C3B0A">
        <w:rPr>
          <w:rFonts w:cs="HelveticaNeueLTStd-Th"/>
        </w:rPr>
        <w:t>)</w:t>
      </w:r>
      <w:r>
        <w:rPr>
          <w:rFonts w:cs="HelveticaNeueLTStd-Th"/>
        </w:rPr>
        <w:t xml:space="preserve">. </w:t>
      </w:r>
    </w:p>
    <w:p w:rsidR="006A7E2D" w:rsidRDefault="006A7E2D" w:rsidP="006A7E2D">
      <w:pPr>
        <w:autoSpaceDE w:val="0"/>
        <w:autoSpaceDN w:val="0"/>
        <w:adjustRightInd w:val="0"/>
        <w:spacing w:after="0" w:line="240" w:lineRule="auto"/>
      </w:pPr>
    </w:p>
    <w:p w:rsidR="006A7E2D" w:rsidRDefault="006A7E2D" w:rsidP="006A7E2D">
      <w:pPr>
        <w:autoSpaceDE w:val="0"/>
        <w:autoSpaceDN w:val="0"/>
        <w:adjustRightInd w:val="0"/>
        <w:spacing w:after="0" w:line="240" w:lineRule="auto"/>
      </w:pPr>
      <w:r>
        <w:rPr>
          <w:rFonts w:cs="HelveticaNeueLTStd-Th"/>
        </w:rPr>
        <w:t>Furthermore, given that self-regulation</w:t>
      </w:r>
      <w:r>
        <w:rPr>
          <w:rStyle w:val="FootnoteReference"/>
          <w:rFonts w:cs="HelveticaNeueLTStd-Th"/>
        </w:rPr>
        <w:footnoteReference w:id="12"/>
      </w:r>
      <w:r>
        <w:rPr>
          <w:rFonts w:cs="HelveticaNeueLTStd-Th"/>
        </w:rPr>
        <w:t xml:space="preserve"> “</w:t>
      </w:r>
      <w:r w:rsidRPr="00CF0CA3">
        <w:t>plays a pivotal role in increased adaptive functioning across a wide</w:t>
      </w:r>
      <w:r>
        <w:t xml:space="preserve"> </w:t>
      </w:r>
      <w:r w:rsidRPr="00CF0CA3">
        <w:t>range of outcomes (e.g., social competence, academic</w:t>
      </w:r>
      <w:r>
        <w:t xml:space="preserve"> </w:t>
      </w:r>
      <w:r w:rsidRPr="00CF0CA3">
        <w:t>achievement, maintaining or r</w:t>
      </w:r>
      <w:r>
        <w:t xml:space="preserve">egaining emotional equilibrium)” (Buckner et al, 2009; cited in Ford &amp; </w:t>
      </w:r>
      <w:proofErr w:type="spellStart"/>
      <w:r>
        <w:t>Blaustein</w:t>
      </w:r>
      <w:proofErr w:type="spellEnd"/>
      <w:r>
        <w:t xml:space="preserve">, 2013, p.6), traumatized </w:t>
      </w:r>
      <w:r w:rsidR="00352556">
        <w:t>youth</w:t>
      </w:r>
      <w:r>
        <w:t xml:space="preserve"> who do not have or cannot readily access self-regulation competencies are at a distinct disadvantage in terms of their ability to cope with either mandated programs that focus on changing or eliminating “negative” behaviours or with staff who rely on behaviour management and disciplinary techniques to maintain order and safety but have little awareness or understanding of traumatic stress issues (Ford &amp; </w:t>
      </w:r>
      <w:proofErr w:type="spellStart"/>
      <w:r>
        <w:t>Blaustein</w:t>
      </w:r>
      <w:proofErr w:type="spellEnd"/>
      <w:r>
        <w:t xml:space="preserve">, 2013, p. 5). </w:t>
      </w:r>
      <w:proofErr w:type="spellStart"/>
      <w:r>
        <w:t>Zelechoski</w:t>
      </w:r>
      <w:proofErr w:type="spellEnd"/>
      <w:r>
        <w:t xml:space="preserve"> notes that facility staff who are not trauma-informed will most likely misinterpret a traumatized youth’s impulsive and excessive reactions as aggressive and acting out behaviour that needs to be managed, rather than seeing it as a core disturbance emanating from a scarcity of self-regulation skills (2013, p. 7). </w:t>
      </w:r>
      <w:r>
        <w:rPr>
          <w:rFonts w:cs="HelveticaNeueLTStd-Th"/>
        </w:rPr>
        <w:t xml:space="preserve">Furthermore, traumatized youth are at risk of becoming even more </w:t>
      </w:r>
      <w:proofErr w:type="spellStart"/>
      <w:r>
        <w:rPr>
          <w:rFonts w:cs="HelveticaNeueLTStd-Th"/>
        </w:rPr>
        <w:t>dysregulated</w:t>
      </w:r>
      <w:proofErr w:type="spellEnd"/>
      <w:r>
        <w:rPr>
          <w:rFonts w:cs="HelveticaNeueLTStd-Th"/>
        </w:rPr>
        <w:t xml:space="preserve"> in response to having their behaviour “managed” either through the use of restraints and seclusion or through behavioural management techniques that “limit an individual’s choices and reduce the likelihood of accessing adaptive coping strategies” (</w:t>
      </w:r>
      <w:proofErr w:type="spellStart"/>
      <w:r>
        <w:rPr>
          <w:rFonts w:cs="HelveticaNeueLTStd-Th"/>
        </w:rPr>
        <w:t>Zelechoski</w:t>
      </w:r>
      <w:proofErr w:type="spellEnd"/>
      <w:r>
        <w:rPr>
          <w:rFonts w:cs="HelveticaNeueLTStd-Th"/>
        </w:rPr>
        <w:t>, 2013, p. 7).</w:t>
      </w:r>
    </w:p>
    <w:p w:rsidR="006A7E2D" w:rsidRDefault="006A7E2D" w:rsidP="006A7E2D">
      <w:pPr>
        <w:autoSpaceDE w:val="0"/>
        <w:autoSpaceDN w:val="0"/>
        <w:adjustRightInd w:val="0"/>
        <w:spacing w:after="0" w:line="240" w:lineRule="auto"/>
      </w:pPr>
    </w:p>
    <w:p w:rsidR="006A7E2D" w:rsidRDefault="006A7E2D" w:rsidP="006A7E2D">
      <w:pPr>
        <w:autoSpaceDE w:val="0"/>
        <w:autoSpaceDN w:val="0"/>
        <w:adjustRightInd w:val="0"/>
        <w:spacing w:after="0" w:line="240" w:lineRule="auto"/>
        <w:rPr>
          <w:rFonts w:cs="HelveticaNeueLTStd-Th"/>
        </w:rPr>
      </w:pPr>
      <w:r>
        <w:rPr>
          <w:rFonts w:cs="HelveticaNeueLTStd-Th"/>
        </w:rPr>
        <w:t>Because traumatic stress plays such a key role in youths</w:t>
      </w:r>
      <w:r w:rsidR="00485783">
        <w:rPr>
          <w:rFonts w:cs="HelveticaNeueLTStd-Th"/>
        </w:rPr>
        <w:t>’</w:t>
      </w:r>
      <w:r>
        <w:rPr>
          <w:rFonts w:cs="HelveticaNeueLTStd-Th"/>
        </w:rPr>
        <w:t xml:space="preserve"> mental health and behavioural challenges, their unique treatment needs, their safety, and the success of their rehabilitation, Ford and </w:t>
      </w:r>
      <w:proofErr w:type="spellStart"/>
      <w:r>
        <w:rPr>
          <w:rFonts w:cs="HelveticaNeueLTStd-Th"/>
        </w:rPr>
        <w:t>Blaustein</w:t>
      </w:r>
      <w:proofErr w:type="spellEnd"/>
      <w:r>
        <w:rPr>
          <w:rFonts w:cs="HelveticaNeueLTStd-Th"/>
        </w:rPr>
        <w:t xml:space="preserve"> advocate strongly for a correctional philosophy and practice that focuses on self regulation (for staff as well as </w:t>
      </w:r>
      <w:r w:rsidR="00352556">
        <w:rPr>
          <w:rFonts w:cs="HelveticaNeueLTStd-Th"/>
        </w:rPr>
        <w:t>youth</w:t>
      </w:r>
      <w:r>
        <w:rPr>
          <w:rFonts w:cs="HelveticaNeueLTStd-Th"/>
        </w:rPr>
        <w:t xml:space="preserve">) and is grounded in trauma informed principles and practices (2013). Ford and </w:t>
      </w:r>
      <w:proofErr w:type="spellStart"/>
      <w:r>
        <w:rPr>
          <w:rFonts w:cs="HelveticaNeueLTStd-Th"/>
        </w:rPr>
        <w:t>Blaustein</w:t>
      </w:r>
      <w:proofErr w:type="spellEnd"/>
      <w:r>
        <w:rPr>
          <w:rFonts w:cs="HelveticaNeueLTStd-Th"/>
        </w:rPr>
        <w:t xml:space="preserve"> suggest that instead of focusing on outcomes that miss the mark because they are focused on eliminating negative behaviours, it would be more effective and beneficial to educate youth about traumatic stress reactions and support youth in strengthening their self-regulation skills while they are in an environment that is free of many of the barriers and distractions that exist in </w:t>
      </w:r>
      <w:r w:rsidR="00352556">
        <w:rPr>
          <w:rFonts w:cs="HelveticaNeueLTStd-Th"/>
        </w:rPr>
        <w:t>youth’s</w:t>
      </w:r>
      <w:r>
        <w:rPr>
          <w:rFonts w:cs="HelveticaNeueLTStd-Th"/>
        </w:rPr>
        <w:t xml:space="preserve"> communities (2013, p. 5). </w:t>
      </w:r>
    </w:p>
    <w:p w:rsidR="00485783" w:rsidRDefault="00485783" w:rsidP="006A7E2D">
      <w:pPr>
        <w:autoSpaceDE w:val="0"/>
        <w:autoSpaceDN w:val="0"/>
        <w:adjustRightInd w:val="0"/>
        <w:spacing w:after="0" w:line="240" w:lineRule="auto"/>
      </w:pPr>
    </w:p>
    <w:p w:rsidR="006A7E2D" w:rsidRDefault="006A7E2D" w:rsidP="006A7E2D">
      <w:pPr>
        <w:autoSpaceDE w:val="0"/>
        <w:autoSpaceDN w:val="0"/>
        <w:adjustRightInd w:val="0"/>
        <w:spacing w:after="0" w:line="240" w:lineRule="auto"/>
        <w:rPr>
          <w:rFonts w:cs="HelveticaNeueLTStd-Th"/>
        </w:rPr>
      </w:pPr>
      <w:r>
        <w:t>Ultimately,</w:t>
      </w:r>
      <w:r w:rsidR="00DA74EF">
        <w:t xml:space="preserve"> “</w:t>
      </w:r>
      <w:r>
        <w:t>s</w:t>
      </w:r>
      <w:r w:rsidRPr="00CF0CA3">
        <w:t xml:space="preserve">uccessful self-regulation in </w:t>
      </w:r>
      <w:r>
        <w:t xml:space="preserve">traumatized </w:t>
      </w:r>
      <w:r w:rsidRPr="00CF0CA3">
        <w:t xml:space="preserve">youth </w:t>
      </w:r>
      <w:r>
        <w:t xml:space="preserve">provides them with an </w:t>
      </w:r>
      <w:r w:rsidRPr="00CF0CA3">
        <w:t xml:space="preserve">enhanced ability to cope with stressors without </w:t>
      </w:r>
      <w:r>
        <w:t xml:space="preserve">engaging in </w:t>
      </w:r>
      <w:r w:rsidRPr="00CF0CA3">
        <w:t>self</w:t>
      </w:r>
      <w:r>
        <w:t>-</w:t>
      </w:r>
      <w:r w:rsidRPr="00CF0CA3">
        <w:t>defeating</w:t>
      </w:r>
      <w:r>
        <w:t xml:space="preserve"> </w:t>
      </w:r>
      <w:r w:rsidRPr="00CF0CA3">
        <w:t>or interpersonally</w:t>
      </w:r>
      <w:r>
        <w:t xml:space="preserve"> </w:t>
      </w:r>
      <w:r w:rsidRPr="00CF0CA3">
        <w:t xml:space="preserve">ineffective attitudes and </w:t>
      </w:r>
      <w:r>
        <w:t>behaviour”</w:t>
      </w:r>
      <w:r w:rsidRPr="00CF0CA3">
        <w:t xml:space="preserve"> (</w:t>
      </w:r>
      <w:proofErr w:type="spellStart"/>
      <w:r w:rsidRPr="00CF0CA3">
        <w:t>Compas</w:t>
      </w:r>
      <w:proofErr w:type="spellEnd"/>
      <w:r w:rsidRPr="00CF0CA3">
        <w:t xml:space="preserve"> 2006</w:t>
      </w:r>
      <w:r>
        <w:t xml:space="preserve">; cited in Ford &amp; </w:t>
      </w:r>
      <w:proofErr w:type="spellStart"/>
      <w:r>
        <w:t>Blaustein</w:t>
      </w:r>
      <w:proofErr w:type="spellEnd"/>
      <w:r>
        <w:t>, 2013, p.6)</w:t>
      </w:r>
      <w:r w:rsidRPr="00CF0CA3">
        <w:t>.</w:t>
      </w:r>
      <w:r>
        <w:t xml:space="preserve"> Furthermore, developing self-regulation skills that govern impulsivity and the ability to delay gratification would likely improve a youth’s ability to successfully complete substance treatment programs or prevent relapses. Similarly, shifting the theoretical framework from mental health diagnoses and trauma symptoms to a framework that focuses on strengths, resilience and development impact has been shown to have a greater moderating effect on behaviour in that the more strengths a youth has developed, the less likely it is that the youth will engage in high-risk behaviours (Griffin et al, 2009; cited in </w:t>
      </w:r>
      <w:proofErr w:type="spellStart"/>
      <w:r>
        <w:t>Zelechoski</w:t>
      </w:r>
      <w:proofErr w:type="spellEnd"/>
      <w:r>
        <w:t xml:space="preserve">, 2013). </w:t>
      </w:r>
    </w:p>
    <w:p w:rsidR="006A7E2D" w:rsidRDefault="006A7E2D" w:rsidP="006A7E2D">
      <w:pPr>
        <w:autoSpaceDE w:val="0"/>
        <w:autoSpaceDN w:val="0"/>
        <w:adjustRightInd w:val="0"/>
        <w:spacing w:after="0" w:line="240" w:lineRule="auto"/>
      </w:pPr>
    </w:p>
    <w:p w:rsidR="00F83436" w:rsidRDefault="00F83436" w:rsidP="006A7E2D">
      <w:pPr>
        <w:autoSpaceDE w:val="0"/>
        <w:autoSpaceDN w:val="0"/>
        <w:adjustRightInd w:val="0"/>
        <w:spacing w:after="0" w:line="240" w:lineRule="auto"/>
      </w:pPr>
    </w:p>
    <w:p w:rsidR="006A7E2D" w:rsidRDefault="006A7E2D" w:rsidP="006A7E2D">
      <w:pPr>
        <w:autoSpaceDE w:val="0"/>
        <w:autoSpaceDN w:val="0"/>
        <w:adjustRightInd w:val="0"/>
        <w:spacing w:after="0" w:line="240" w:lineRule="auto"/>
      </w:pPr>
      <w:r>
        <w:rPr>
          <w:rFonts w:cs="Times New Roman"/>
          <w:b/>
        </w:rPr>
        <w:t xml:space="preserve">Trauma-focused therapies shown to work with traumatized youth in general </w:t>
      </w:r>
    </w:p>
    <w:p w:rsidR="006A7E2D" w:rsidRDefault="006A7E2D" w:rsidP="006A7E2D">
      <w:pPr>
        <w:autoSpaceDE w:val="0"/>
        <w:autoSpaceDN w:val="0"/>
        <w:adjustRightInd w:val="0"/>
        <w:spacing w:after="0" w:line="240" w:lineRule="auto"/>
      </w:pPr>
      <w:r>
        <w:t>Other trauma researchers (</w:t>
      </w:r>
      <w:proofErr w:type="spellStart"/>
      <w:r>
        <w:t>Zelechoski</w:t>
      </w:r>
      <w:proofErr w:type="spellEnd"/>
      <w:r>
        <w:t>, 2013; Levin 2009,</w:t>
      </w:r>
      <w:r w:rsidR="00600A3E">
        <w:t xml:space="preserve"> </w:t>
      </w:r>
      <w:r>
        <w:t xml:space="preserve">cited in </w:t>
      </w:r>
      <w:proofErr w:type="spellStart"/>
      <w:r>
        <w:t>Zelechoski</w:t>
      </w:r>
      <w:proofErr w:type="spellEnd"/>
      <w:r>
        <w:t xml:space="preserve">, 2013; Bloom, 1997, cited in Ford &amp; </w:t>
      </w:r>
      <w:proofErr w:type="spellStart"/>
      <w:r>
        <w:t>Blaustein</w:t>
      </w:r>
      <w:proofErr w:type="spellEnd"/>
      <w:r>
        <w:t xml:space="preserve">, 2013; Spinazzola, Rhodes, et al, 2011) also concur with Ford and </w:t>
      </w:r>
      <w:proofErr w:type="spellStart"/>
      <w:r>
        <w:t>Blaustein</w:t>
      </w:r>
      <w:proofErr w:type="spellEnd"/>
      <w:r>
        <w:t xml:space="preserve"> on the importance and necessity of shifting the focus of facilities’ programs from unhelpful, behavioral management approaches that emphasize compliance and conformity to trauma-specific programs offered within a trauma-informed organizational culture</w:t>
      </w:r>
      <w:r w:rsidR="00DA74EF">
        <w:rPr>
          <w:rStyle w:val="FootnoteReference"/>
        </w:rPr>
        <w:footnoteReference w:id="13"/>
      </w:r>
      <w:r>
        <w:t xml:space="preserve">. While these programs are not specifically designed to treat substance abuse disorders, their trauma-informed approach to meeting </w:t>
      </w:r>
      <w:r w:rsidR="00352556">
        <w:t>youths</w:t>
      </w:r>
      <w:r w:rsidR="00485783">
        <w:t>’</w:t>
      </w:r>
      <w:r>
        <w:t xml:space="preserve"> needs and developing </w:t>
      </w:r>
      <w:r w:rsidR="00352556">
        <w:t>youths</w:t>
      </w:r>
      <w:r w:rsidR="00485783">
        <w:t>’</w:t>
      </w:r>
      <w:r>
        <w:t xml:space="preserve"> regulating systems in a safe and supportive system most likely facilitate the ability to complete a substance treatment program.</w:t>
      </w:r>
    </w:p>
    <w:p w:rsidR="00F777A3" w:rsidRDefault="00F777A3" w:rsidP="006A7E2D">
      <w:pPr>
        <w:autoSpaceDE w:val="0"/>
        <w:autoSpaceDN w:val="0"/>
        <w:adjustRightInd w:val="0"/>
        <w:spacing w:after="0" w:line="240" w:lineRule="auto"/>
      </w:pPr>
    </w:p>
    <w:p w:rsidR="006A7E2D" w:rsidRDefault="006A7E2D" w:rsidP="006A7E2D">
      <w:pPr>
        <w:autoSpaceDE w:val="0"/>
        <w:autoSpaceDN w:val="0"/>
        <w:adjustRightInd w:val="0"/>
        <w:spacing w:after="0" w:line="240" w:lineRule="auto"/>
      </w:pPr>
      <w:proofErr w:type="spellStart"/>
      <w:r>
        <w:t>Zelechoski</w:t>
      </w:r>
      <w:proofErr w:type="spellEnd"/>
      <w:r>
        <w:t xml:space="preserve"> points out that </w:t>
      </w:r>
      <w:r>
        <w:rPr>
          <w:rFonts w:cs="Times New Roman"/>
        </w:rPr>
        <w:t>a crucial first</w:t>
      </w:r>
      <w:r w:rsidRPr="005F6761">
        <w:rPr>
          <w:rFonts w:cs="Times New Roman"/>
        </w:rPr>
        <w:t xml:space="preserve"> step toward becoming a trauma-informed system is</w:t>
      </w:r>
      <w:r>
        <w:rPr>
          <w:rFonts w:cs="Times New Roman"/>
        </w:rPr>
        <w:t xml:space="preserve"> </w:t>
      </w:r>
      <w:r w:rsidRPr="005F6761">
        <w:rPr>
          <w:rFonts w:cs="Times New Roman"/>
        </w:rPr>
        <w:t>to educate all staff about the nature and impact of trauma</w:t>
      </w:r>
      <w:r>
        <w:rPr>
          <w:rFonts w:cs="Times New Roman"/>
        </w:rPr>
        <w:t xml:space="preserve"> </w:t>
      </w:r>
      <w:r w:rsidRPr="005F6761">
        <w:rPr>
          <w:rFonts w:cs="Times New Roman"/>
        </w:rPr>
        <w:t>(Brown et al. 2012a; Doyle and Bauer 1989</w:t>
      </w:r>
      <w:r>
        <w:rPr>
          <w:rFonts w:cs="Times New Roman"/>
        </w:rPr>
        <w:t xml:space="preserve">; cited in </w:t>
      </w:r>
      <w:proofErr w:type="spellStart"/>
      <w:r>
        <w:rPr>
          <w:rFonts w:cs="Times New Roman"/>
        </w:rPr>
        <w:t>Zelechoski</w:t>
      </w:r>
      <w:proofErr w:type="spellEnd"/>
      <w:r>
        <w:rPr>
          <w:rFonts w:cs="Times New Roman"/>
        </w:rPr>
        <w:t>, 2013, p.7</w:t>
      </w:r>
      <w:r w:rsidRPr="005F6761">
        <w:rPr>
          <w:rFonts w:cs="Times New Roman"/>
        </w:rPr>
        <w:t xml:space="preserve">). </w:t>
      </w:r>
      <w:r>
        <w:rPr>
          <w:rFonts w:cs="Times New Roman"/>
        </w:rPr>
        <w:t xml:space="preserve">Citing Levin (2009) and van </w:t>
      </w:r>
      <w:proofErr w:type="spellStart"/>
      <w:r>
        <w:rPr>
          <w:rFonts w:cs="Times New Roman"/>
        </w:rPr>
        <w:t>der</w:t>
      </w:r>
      <w:proofErr w:type="spellEnd"/>
      <w:r>
        <w:rPr>
          <w:rFonts w:cs="Times New Roman"/>
        </w:rPr>
        <w:t xml:space="preserve"> </w:t>
      </w:r>
      <w:proofErr w:type="spellStart"/>
      <w:r>
        <w:rPr>
          <w:rFonts w:cs="Times New Roman"/>
        </w:rPr>
        <w:t>Kolk</w:t>
      </w:r>
      <w:proofErr w:type="spellEnd"/>
      <w:r>
        <w:rPr>
          <w:rFonts w:cs="Times New Roman"/>
        </w:rPr>
        <w:t xml:space="preserve"> (2005), </w:t>
      </w:r>
      <w:proofErr w:type="spellStart"/>
      <w:r>
        <w:rPr>
          <w:rFonts w:cs="Times New Roman"/>
        </w:rPr>
        <w:t>Zelechoski</w:t>
      </w:r>
      <w:proofErr w:type="spellEnd"/>
      <w:r>
        <w:rPr>
          <w:rFonts w:cs="Times New Roman"/>
        </w:rPr>
        <w:t xml:space="preserve"> explains that “u</w:t>
      </w:r>
      <w:r w:rsidRPr="005F6761">
        <w:rPr>
          <w:rFonts w:cs="Times New Roman"/>
        </w:rPr>
        <w:t>nderstanding</w:t>
      </w:r>
      <w:r>
        <w:rPr>
          <w:rFonts w:cs="Times New Roman"/>
        </w:rPr>
        <w:t xml:space="preserve"> </w:t>
      </w:r>
      <w:r w:rsidRPr="005F6761">
        <w:rPr>
          <w:rFonts w:cs="Times New Roman"/>
        </w:rPr>
        <w:t>and accurately diagnosing a client with complex or developmental</w:t>
      </w:r>
      <w:r>
        <w:rPr>
          <w:rFonts w:cs="Times New Roman"/>
        </w:rPr>
        <w:t xml:space="preserve"> </w:t>
      </w:r>
      <w:r w:rsidRPr="005F6761">
        <w:rPr>
          <w:rFonts w:cs="Times New Roman"/>
        </w:rPr>
        <w:t>trauma may lead to increased empathy and understanding</w:t>
      </w:r>
      <w:r>
        <w:rPr>
          <w:rFonts w:cs="Times New Roman"/>
        </w:rPr>
        <w:t xml:space="preserve"> </w:t>
      </w:r>
      <w:r w:rsidRPr="005F6761">
        <w:rPr>
          <w:rFonts w:cs="Times New Roman"/>
        </w:rPr>
        <w:t>of the context of the client’s current presentation, as</w:t>
      </w:r>
      <w:r>
        <w:rPr>
          <w:rFonts w:cs="Times New Roman"/>
        </w:rPr>
        <w:t xml:space="preserve"> </w:t>
      </w:r>
      <w:r w:rsidRPr="005F6761">
        <w:rPr>
          <w:rFonts w:cs="Times New Roman"/>
        </w:rPr>
        <w:t>well as</w:t>
      </w:r>
      <w:r>
        <w:rPr>
          <w:rFonts w:cs="Times New Roman"/>
        </w:rPr>
        <w:t xml:space="preserve"> </w:t>
      </w:r>
      <w:r w:rsidRPr="005F6761">
        <w:rPr>
          <w:rFonts w:cs="Times New Roman"/>
        </w:rPr>
        <w:t>increase efforts to offer adaptive coping and problem-solving</w:t>
      </w:r>
      <w:r>
        <w:rPr>
          <w:rFonts w:cs="Times New Roman"/>
        </w:rPr>
        <w:t xml:space="preserve"> </w:t>
      </w:r>
      <w:r w:rsidRPr="005F6761">
        <w:rPr>
          <w:rFonts w:cs="Times New Roman"/>
        </w:rPr>
        <w:t>strategies</w:t>
      </w:r>
      <w:r>
        <w:rPr>
          <w:rFonts w:cs="Times New Roman"/>
        </w:rPr>
        <w:t>”</w:t>
      </w:r>
      <w:r w:rsidRPr="005F6761">
        <w:rPr>
          <w:rFonts w:cs="Times New Roman"/>
        </w:rPr>
        <w:t xml:space="preserve"> (</w:t>
      </w:r>
      <w:r>
        <w:rPr>
          <w:rFonts w:cs="Times New Roman"/>
        </w:rPr>
        <w:t>2013, p.7</w:t>
      </w:r>
      <w:r w:rsidRPr="005F6761">
        <w:rPr>
          <w:rFonts w:cs="Times New Roman"/>
        </w:rPr>
        <w:t xml:space="preserve">). </w:t>
      </w:r>
      <w:r>
        <w:rPr>
          <w:rFonts w:cs="Times New Roman"/>
        </w:rPr>
        <w:t xml:space="preserve">Furthermore, an accurate understanding of the youth’s trauma issues will ensure a youth is not </w:t>
      </w:r>
      <w:r w:rsidRPr="005F6761">
        <w:rPr>
          <w:rFonts w:cs="Times New Roman"/>
        </w:rPr>
        <w:t>inaccurately</w:t>
      </w:r>
      <w:r>
        <w:rPr>
          <w:rFonts w:cs="Times New Roman"/>
        </w:rPr>
        <w:t xml:space="preserve"> labelled with negative terms such as “unmotivated” or “oppositional”</w:t>
      </w:r>
      <w:r w:rsidRPr="005F6761">
        <w:rPr>
          <w:rFonts w:cs="Times New Roman"/>
        </w:rPr>
        <w:t xml:space="preserve"> (</w:t>
      </w:r>
      <w:proofErr w:type="spellStart"/>
      <w:r>
        <w:rPr>
          <w:rFonts w:cs="Times New Roman"/>
        </w:rPr>
        <w:t>Zelechoski</w:t>
      </w:r>
      <w:proofErr w:type="spellEnd"/>
      <w:r>
        <w:rPr>
          <w:rFonts w:cs="Times New Roman"/>
        </w:rPr>
        <w:t>, 2013</w:t>
      </w:r>
      <w:r w:rsidRPr="005F6761">
        <w:rPr>
          <w:rFonts w:cs="Times New Roman"/>
        </w:rPr>
        <w:t>).</w:t>
      </w:r>
    </w:p>
    <w:p w:rsidR="006A7E2D" w:rsidRDefault="006A7E2D" w:rsidP="006A7E2D">
      <w:pPr>
        <w:autoSpaceDE w:val="0"/>
        <w:autoSpaceDN w:val="0"/>
        <w:adjustRightInd w:val="0"/>
        <w:spacing w:after="0" w:line="240" w:lineRule="auto"/>
      </w:pPr>
    </w:p>
    <w:p w:rsidR="006A7E2D" w:rsidRDefault="006A7E2D" w:rsidP="006A7E2D">
      <w:pPr>
        <w:autoSpaceDE w:val="0"/>
        <w:autoSpaceDN w:val="0"/>
        <w:adjustRightInd w:val="0"/>
        <w:spacing w:after="0" w:line="240" w:lineRule="auto"/>
      </w:pPr>
      <w:r>
        <w:t xml:space="preserve">Ford &amp; </w:t>
      </w:r>
      <w:proofErr w:type="spellStart"/>
      <w:r>
        <w:t>Blaustein</w:t>
      </w:r>
      <w:proofErr w:type="spellEnd"/>
      <w:r>
        <w:t xml:space="preserve"> (2013, pp. 9-10) identify and discuss five trauma intervention models that have been developed; two have been specifically field tested for trauma-informed, self-regulation based services in youth detention and residential facilities. The models and their applications are listed below:</w:t>
      </w:r>
    </w:p>
    <w:p w:rsidR="006A7E2D" w:rsidRDefault="006A7E2D" w:rsidP="006A7E2D">
      <w:pPr>
        <w:autoSpaceDE w:val="0"/>
        <w:autoSpaceDN w:val="0"/>
        <w:adjustRightInd w:val="0"/>
        <w:spacing w:after="0" w:line="240" w:lineRule="auto"/>
      </w:pPr>
    </w:p>
    <w:p w:rsidR="006A7E2D" w:rsidRPr="008A5786" w:rsidRDefault="006A7E2D" w:rsidP="006A7E2D">
      <w:pPr>
        <w:autoSpaceDE w:val="0"/>
        <w:autoSpaceDN w:val="0"/>
        <w:adjustRightInd w:val="0"/>
        <w:spacing w:after="0" w:line="240" w:lineRule="auto"/>
        <w:rPr>
          <w:rFonts w:cs="Times New Roman"/>
        </w:rPr>
      </w:pPr>
      <w:r w:rsidRPr="00364B48">
        <w:rPr>
          <w:rFonts w:cs="Times New Roman"/>
          <w:b/>
        </w:rPr>
        <w:t>Attachment, Self-Regulation, and Competency (ARC)</w:t>
      </w:r>
      <w:r>
        <w:rPr>
          <w:rFonts w:cs="Times New Roman"/>
        </w:rPr>
        <w:t>:</w:t>
      </w:r>
      <w:r w:rsidRPr="008A5786">
        <w:rPr>
          <w:rFonts w:cs="Times New Roman"/>
        </w:rPr>
        <w:t xml:space="preserve"> </w:t>
      </w:r>
      <w:r w:rsidR="00F777A3">
        <w:rPr>
          <w:rFonts w:cs="Times New Roman"/>
        </w:rPr>
        <w:t xml:space="preserve">According to Ford and </w:t>
      </w:r>
      <w:proofErr w:type="spellStart"/>
      <w:r w:rsidR="00F777A3">
        <w:rPr>
          <w:rFonts w:cs="Times New Roman"/>
        </w:rPr>
        <w:t>Blaustein</w:t>
      </w:r>
      <w:proofErr w:type="spellEnd"/>
      <w:r w:rsidR="00F777A3">
        <w:rPr>
          <w:rFonts w:cs="Times New Roman"/>
        </w:rPr>
        <w:t xml:space="preserve"> (2013), t</w:t>
      </w:r>
      <w:r w:rsidRPr="008A5786">
        <w:rPr>
          <w:rFonts w:cs="Times New Roman"/>
        </w:rPr>
        <w:t xml:space="preserve">he ARC treatment framework is a components-based model of intervention </w:t>
      </w:r>
      <w:r w:rsidR="00577667">
        <w:rPr>
          <w:rFonts w:cs="Times New Roman"/>
        </w:rPr>
        <w:t>that was</w:t>
      </w:r>
      <w:r w:rsidRPr="008A5786">
        <w:rPr>
          <w:rFonts w:cs="Times New Roman"/>
        </w:rPr>
        <w:t xml:space="preserve"> designed to translate across service settings. </w:t>
      </w:r>
      <w:r w:rsidR="00577667">
        <w:rPr>
          <w:rFonts w:cs="Times New Roman"/>
        </w:rPr>
        <w:t xml:space="preserve">Ford and </w:t>
      </w:r>
      <w:proofErr w:type="spellStart"/>
      <w:r w:rsidR="00577667">
        <w:rPr>
          <w:rFonts w:cs="Times New Roman"/>
        </w:rPr>
        <w:t>Blaustein</w:t>
      </w:r>
      <w:proofErr w:type="spellEnd"/>
      <w:r w:rsidR="00577667">
        <w:rPr>
          <w:rFonts w:cs="Times New Roman"/>
        </w:rPr>
        <w:t xml:space="preserve"> (2013)</w:t>
      </w:r>
      <w:r w:rsidR="00485783">
        <w:rPr>
          <w:rFonts w:cs="Times New Roman"/>
        </w:rPr>
        <w:t xml:space="preserve"> </w:t>
      </w:r>
      <w:r w:rsidR="00577667">
        <w:rPr>
          <w:rFonts w:cs="Times New Roman"/>
        </w:rPr>
        <w:t>explain that t</w:t>
      </w:r>
      <w:r w:rsidRPr="008A5786">
        <w:rPr>
          <w:rFonts w:cs="Times New Roman"/>
        </w:rPr>
        <w:t xml:space="preserve">he model identifies </w:t>
      </w:r>
      <w:r w:rsidR="00DD4C5D">
        <w:rPr>
          <w:rFonts w:cs="Times New Roman"/>
        </w:rPr>
        <w:t>ten</w:t>
      </w:r>
      <w:r w:rsidRPr="008A5786">
        <w:rPr>
          <w:rFonts w:cs="Times New Roman"/>
        </w:rPr>
        <w:t xml:space="preserve"> core intervention targets, nine of which fall within three domains of attachment (building and supporting a safe and responsive </w:t>
      </w:r>
      <w:proofErr w:type="spellStart"/>
      <w:r w:rsidRPr="008A5786">
        <w:rPr>
          <w:rFonts w:cs="Times New Roman"/>
        </w:rPr>
        <w:t>caregiving</w:t>
      </w:r>
      <w:proofErr w:type="spellEnd"/>
      <w:r w:rsidRPr="008A5786">
        <w:rPr>
          <w:rFonts w:cs="Times New Roman"/>
        </w:rPr>
        <w:t xml:space="preserve"> system by primary caregivers, providers, and milieus); self</w:t>
      </w:r>
      <w:r w:rsidR="00F777A3">
        <w:rPr>
          <w:rFonts w:cs="Times New Roman"/>
        </w:rPr>
        <w:t>-</w:t>
      </w:r>
      <w:r w:rsidRPr="008A5786">
        <w:rPr>
          <w:rFonts w:cs="Times New Roman"/>
        </w:rPr>
        <w:t xml:space="preserve">regulation (supporting youth capacity to identify, modulate, and express emotional and physiological experience); and competency (building core self-reflective capacities including problem-solving skills and a coherent and positive understanding of self); the </w:t>
      </w:r>
      <w:r w:rsidR="00DD4C5D">
        <w:rPr>
          <w:rFonts w:cs="Times New Roman"/>
        </w:rPr>
        <w:t>tent</w:t>
      </w:r>
      <w:r w:rsidRPr="008A5786">
        <w:rPr>
          <w:rFonts w:cs="Times New Roman"/>
        </w:rPr>
        <w:t xml:space="preserve">h core target involves processing and </w:t>
      </w:r>
      <w:r w:rsidR="00577667">
        <w:rPr>
          <w:rFonts w:cs="Times New Roman"/>
        </w:rPr>
        <w:t>integrating</w:t>
      </w:r>
      <w:r w:rsidRPr="008A5786">
        <w:rPr>
          <w:rFonts w:cs="Times New Roman"/>
        </w:rPr>
        <w:t xml:space="preserve"> life </w:t>
      </w:r>
      <w:r w:rsidRPr="008A5786">
        <w:rPr>
          <w:rFonts w:cs="Times New Roman"/>
        </w:rPr>
        <w:lastRenderedPageBreak/>
        <w:t>experiences, including but not limited to traumatic events. A core concepts framework guides the provider in using each target clinically, as well as in integrating them into systemic or milieu functioning, staff training, and other modalities. The framework emphasizes the importance of whole systems change in supporting youth competent development and caregiver safety, and has been applied in juvenile justice facilities, residential treatment programs, inpatient hospitals, group homes and therapeutic foster care, and outpatient treatment.</w:t>
      </w:r>
    </w:p>
    <w:p w:rsidR="006A7E2D" w:rsidRPr="008A5786" w:rsidRDefault="006A7E2D" w:rsidP="006A7E2D">
      <w:pPr>
        <w:autoSpaceDE w:val="0"/>
        <w:autoSpaceDN w:val="0"/>
        <w:adjustRightInd w:val="0"/>
        <w:spacing w:after="0" w:line="240" w:lineRule="auto"/>
        <w:rPr>
          <w:rFonts w:cs="Times New Roman"/>
        </w:rPr>
      </w:pPr>
    </w:p>
    <w:p w:rsidR="006A7E2D" w:rsidRPr="008A5786" w:rsidRDefault="006A7E2D" w:rsidP="006A7E2D">
      <w:pPr>
        <w:autoSpaceDE w:val="0"/>
        <w:autoSpaceDN w:val="0"/>
        <w:adjustRightInd w:val="0"/>
        <w:spacing w:after="0" w:line="240" w:lineRule="auto"/>
        <w:rPr>
          <w:rFonts w:cs="Times New Roman"/>
        </w:rPr>
      </w:pPr>
      <w:r w:rsidRPr="0053692D">
        <w:rPr>
          <w:rFonts w:cs="Times New Roman"/>
          <w:b/>
        </w:rPr>
        <w:t>Sanctuary:</w:t>
      </w:r>
      <w:r w:rsidRPr="008A5786">
        <w:rPr>
          <w:rFonts w:cs="Times New Roman"/>
        </w:rPr>
        <w:t xml:space="preserve"> </w:t>
      </w:r>
      <w:r w:rsidR="00F777A3">
        <w:rPr>
          <w:rFonts w:cs="Times New Roman"/>
        </w:rPr>
        <w:t xml:space="preserve">Ford and </w:t>
      </w:r>
      <w:proofErr w:type="spellStart"/>
      <w:r w:rsidR="00F777A3">
        <w:rPr>
          <w:rFonts w:cs="Times New Roman"/>
        </w:rPr>
        <w:t>Blaustein</w:t>
      </w:r>
      <w:proofErr w:type="spellEnd"/>
      <w:r w:rsidR="00F777A3">
        <w:rPr>
          <w:rFonts w:cs="Times New Roman"/>
        </w:rPr>
        <w:t xml:space="preserve"> </w:t>
      </w:r>
      <w:r w:rsidR="00DD4C5D">
        <w:rPr>
          <w:rFonts w:cs="Times New Roman"/>
        </w:rPr>
        <w:t xml:space="preserve">(2013) </w:t>
      </w:r>
      <w:r w:rsidR="00F777A3">
        <w:rPr>
          <w:rFonts w:cs="Times New Roman"/>
        </w:rPr>
        <w:t xml:space="preserve">explain that </w:t>
      </w:r>
      <w:r w:rsidR="00DD4C5D">
        <w:rPr>
          <w:rFonts w:cs="Times New Roman"/>
        </w:rPr>
        <w:t>the Sanctuary</w:t>
      </w:r>
      <w:r w:rsidR="00F777A3">
        <w:rPr>
          <w:rFonts w:cs="Times New Roman"/>
        </w:rPr>
        <w:t xml:space="preserve"> model</w:t>
      </w:r>
      <w:r w:rsidR="00DD4C5D">
        <w:rPr>
          <w:rFonts w:cs="Times New Roman"/>
        </w:rPr>
        <w:t xml:space="preserve">, </w:t>
      </w:r>
      <w:r w:rsidR="00746327">
        <w:rPr>
          <w:rFonts w:cs="Times New Roman"/>
        </w:rPr>
        <w:t>developed</w:t>
      </w:r>
      <w:r w:rsidR="00DD4C5D">
        <w:rPr>
          <w:rFonts w:cs="Times New Roman"/>
        </w:rPr>
        <w:t xml:space="preserve"> by Bloom</w:t>
      </w:r>
      <w:r w:rsidR="00F777A3">
        <w:rPr>
          <w:rFonts w:cs="Times New Roman"/>
        </w:rPr>
        <w:t xml:space="preserve"> </w:t>
      </w:r>
      <w:r w:rsidRPr="008A5786">
        <w:rPr>
          <w:rFonts w:cs="Times New Roman"/>
        </w:rPr>
        <w:t>(</w:t>
      </w:r>
      <w:r w:rsidR="00DD4C5D">
        <w:rPr>
          <w:rFonts w:cs="Times New Roman"/>
        </w:rPr>
        <w:t xml:space="preserve">1997, </w:t>
      </w:r>
      <w:r w:rsidR="00F777A3">
        <w:rPr>
          <w:rFonts w:cs="Times New Roman"/>
        </w:rPr>
        <w:t xml:space="preserve">cited in Ford &amp; </w:t>
      </w:r>
      <w:proofErr w:type="spellStart"/>
      <w:r w:rsidR="00F777A3">
        <w:rPr>
          <w:rFonts w:cs="Times New Roman"/>
        </w:rPr>
        <w:t>Blaustein</w:t>
      </w:r>
      <w:proofErr w:type="spellEnd"/>
      <w:r w:rsidR="00F777A3">
        <w:rPr>
          <w:rFonts w:cs="Times New Roman"/>
        </w:rPr>
        <w:t>, 2013)</w:t>
      </w:r>
      <w:r w:rsidR="00DD4C5D">
        <w:rPr>
          <w:rFonts w:cs="Times New Roman"/>
        </w:rPr>
        <w:t>,</w:t>
      </w:r>
      <w:r w:rsidRPr="008A5786">
        <w:rPr>
          <w:rFonts w:cs="Times New Roman"/>
        </w:rPr>
        <w:t xml:space="preserve"> emphasizes the development of a trauma-informed culture which supports recovery from the impacts of traumatic stress, while simultaneously providing safety for clients</w:t>
      </w:r>
      <w:r w:rsidR="00EA2201">
        <w:rPr>
          <w:rFonts w:cs="Times New Roman"/>
        </w:rPr>
        <w:t xml:space="preserve">. Bloom (2007, cited in Ford &amp; </w:t>
      </w:r>
      <w:proofErr w:type="spellStart"/>
      <w:r w:rsidR="00EA2201">
        <w:rPr>
          <w:rFonts w:cs="Times New Roman"/>
        </w:rPr>
        <w:t>Blaustein</w:t>
      </w:r>
      <w:proofErr w:type="spellEnd"/>
      <w:r w:rsidR="00EA2201">
        <w:rPr>
          <w:rFonts w:cs="Times New Roman"/>
        </w:rPr>
        <w:t>, 2013) has identified the following seven characteristics of a trauma-informed culture:</w:t>
      </w:r>
      <w:r w:rsidRPr="008A5786">
        <w:rPr>
          <w:rFonts w:cs="Times New Roman"/>
        </w:rPr>
        <w:t xml:space="preserve"> </w:t>
      </w:r>
      <w:r w:rsidR="00EA2201">
        <w:rPr>
          <w:rFonts w:cs="Times New Roman"/>
        </w:rPr>
        <w:t>n</w:t>
      </w:r>
      <w:r w:rsidRPr="008A5786">
        <w:rPr>
          <w:rFonts w:cs="Times New Roman"/>
        </w:rPr>
        <w:t xml:space="preserve">onviolence, </w:t>
      </w:r>
      <w:r w:rsidR="00EA2201">
        <w:rPr>
          <w:rFonts w:cs="Times New Roman"/>
        </w:rPr>
        <w:t>e</w:t>
      </w:r>
      <w:r w:rsidRPr="008A5786">
        <w:rPr>
          <w:rFonts w:cs="Times New Roman"/>
        </w:rPr>
        <w:t xml:space="preserve">motional </w:t>
      </w:r>
      <w:r w:rsidR="00EA2201">
        <w:rPr>
          <w:rFonts w:cs="Times New Roman"/>
        </w:rPr>
        <w:t>i</w:t>
      </w:r>
      <w:r w:rsidRPr="008A5786">
        <w:rPr>
          <w:rFonts w:cs="Times New Roman"/>
        </w:rPr>
        <w:t xml:space="preserve">ntelligence, </w:t>
      </w:r>
      <w:r w:rsidR="00EA2201">
        <w:rPr>
          <w:rFonts w:cs="Times New Roman"/>
        </w:rPr>
        <w:t>i</w:t>
      </w:r>
      <w:r w:rsidRPr="008A5786">
        <w:rPr>
          <w:rFonts w:cs="Times New Roman"/>
        </w:rPr>
        <w:t xml:space="preserve">nquiry </w:t>
      </w:r>
      <w:r w:rsidR="00EA2201">
        <w:rPr>
          <w:rFonts w:cs="Times New Roman"/>
        </w:rPr>
        <w:t>and</w:t>
      </w:r>
      <w:r w:rsidRPr="008A5786">
        <w:rPr>
          <w:rFonts w:cs="Times New Roman"/>
        </w:rPr>
        <w:t xml:space="preserve"> </w:t>
      </w:r>
      <w:r w:rsidR="00EA2201">
        <w:rPr>
          <w:rFonts w:cs="Times New Roman"/>
        </w:rPr>
        <w:t>s</w:t>
      </w:r>
      <w:r w:rsidRPr="008A5786">
        <w:rPr>
          <w:rFonts w:cs="Times New Roman"/>
        </w:rPr>
        <w:t xml:space="preserve">ocial </w:t>
      </w:r>
      <w:r w:rsidR="00EA2201">
        <w:rPr>
          <w:rFonts w:cs="Times New Roman"/>
        </w:rPr>
        <w:t>l</w:t>
      </w:r>
      <w:r w:rsidRPr="008A5786">
        <w:rPr>
          <w:rFonts w:cs="Times New Roman"/>
        </w:rPr>
        <w:t xml:space="preserve">earning, </w:t>
      </w:r>
      <w:r w:rsidR="00EA2201">
        <w:rPr>
          <w:rFonts w:cs="Times New Roman"/>
        </w:rPr>
        <w:t>s</w:t>
      </w:r>
      <w:r w:rsidRPr="008A5786">
        <w:rPr>
          <w:rFonts w:cs="Times New Roman"/>
        </w:rPr>
        <w:t xml:space="preserve">hared </w:t>
      </w:r>
      <w:r w:rsidR="00EA2201">
        <w:rPr>
          <w:rFonts w:cs="Times New Roman"/>
        </w:rPr>
        <w:t>g</w:t>
      </w:r>
      <w:r w:rsidRPr="008A5786">
        <w:rPr>
          <w:rFonts w:cs="Times New Roman"/>
        </w:rPr>
        <w:t xml:space="preserve">overnance, </w:t>
      </w:r>
      <w:r w:rsidR="00EA2201">
        <w:rPr>
          <w:rFonts w:cs="Times New Roman"/>
        </w:rPr>
        <w:t>o</w:t>
      </w:r>
      <w:r w:rsidRPr="008A5786">
        <w:rPr>
          <w:rFonts w:cs="Times New Roman"/>
        </w:rPr>
        <w:t xml:space="preserve">pen </w:t>
      </w:r>
      <w:r w:rsidR="00EA2201">
        <w:rPr>
          <w:rFonts w:cs="Times New Roman"/>
        </w:rPr>
        <w:t>c</w:t>
      </w:r>
      <w:r w:rsidRPr="008A5786">
        <w:rPr>
          <w:rFonts w:cs="Times New Roman"/>
        </w:rPr>
        <w:t xml:space="preserve">ommunication, </w:t>
      </w:r>
      <w:r w:rsidR="00EA2201">
        <w:rPr>
          <w:rFonts w:cs="Times New Roman"/>
        </w:rPr>
        <w:t>s</w:t>
      </w:r>
      <w:r w:rsidRPr="008A5786">
        <w:rPr>
          <w:rFonts w:cs="Times New Roman"/>
        </w:rPr>
        <w:t xml:space="preserve">ocial </w:t>
      </w:r>
      <w:r w:rsidR="00EA2201">
        <w:rPr>
          <w:rFonts w:cs="Times New Roman"/>
        </w:rPr>
        <w:t>r</w:t>
      </w:r>
      <w:r w:rsidRPr="008A5786">
        <w:rPr>
          <w:rFonts w:cs="Times New Roman"/>
        </w:rPr>
        <w:t xml:space="preserve">esponsibility, and </w:t>
      </w:r>
      <w:r w:rsidR="00EA2201">
        <w:rPr>
          <w:rFonts w:cs="Times New Roman"/>
        </w:rPr>
        <w:t>g</w:t>
      </w:r>
      <w:r w:rsidRPr="008A5786">
        <w:rPr>
          <w:rFonts w:cs="Times New Roman"/>
        </w:rPr>
        <w:t xml:space="preserve">rowth and </w:t>
      </w:r>
      <w:r w:rsidR="00EA2201">
        <w:rPr>
          <w:rFonts w:cs="Times New Roman"/>
        </w:rPr>
        <w:t>c</w:t>
      </w:r>
      <w:r w:rsidRPr="008A5786">
        <w:rPr>
          <w:rFonts w:cs="Times New Roman"/>
        </w:rPr>
        <w:t xml:space="preserve">hange. Across intervention components, treatment is approached within an understanding of the core areas, or phases, of Safety, Emotion Management, Loss, and Future (SELF). </w:t>
      </w:r>
      <w:r w:rsidR="00F777A3">
        <w:rPr>
          <w:rFonts w:cs="Times New Roman"/>
        </w:rPr>
        <w:t xml:space="preserve">Ford and </w:t>
      </w:r>
      <w:proofErr w:type="spellStart"/>
      <w:r w:rsidR="00F777A3">
        <w:rPr>
          <w:rFonts w:cs="Times New Roman"/>
        </w:rPr>
        <w:t>Blaustein</w:t>
      </w:r>
      <w:proofErr w:type="spellEnd"/>
      <w:r w:rsidR="00F777A3">
        <w:rPr>
          <w:rFonts w:cs="Times New Roman"/>
        </w:rPr>
        <w:t xml:space="preserve"> (2013) explain that the i</w:t>
      </w:r>
      <w:r w:rsidRPr="008A5786">
        <w:rPr>
          <w:rFonts w:cs="Times New Roman"/>
        </w:rPr>
        <w:t>ntervention components highlight the role of training, organizational development, development of collaborative teams which include clients, and trauma-informed and trauma-specific treatment. This model has been implemented extensively in inpatient and residential programs.</w:t>
      </w:r>
    </w:p>
    <w:p w:rsidR="006A7E2D" w:rsidRPr="008A5786" w:rsidRDefault="006A7E2D" w:rsidP="006A7E2D">
      <w:pPr>
        <w:autoSpaceDE w:val="0"/>
        <w:autoSpaceDN w:val="0"/>
        <w:adjustRightInd w:val="0"/>
        <w:spacing w:after="0" w:line="240" w:lineRule="auto"/>
        <w:rPr>
          <w:rFonts w:cs="Times New Roman"/>
        </w:rPr>
      </w:pPr>
    </w:p>
    <w:p w:rsidR="006A7E2D" w:rsidRPr="008A5786" w:rsidRDefault="006A7E2D" w:rsidP="006A7E2D">
      <w:pPr>
        <w:autoSpaceDE w:val="0"/>
        <w:autoSpaceDN w:val="0"/>
        <w:adjustRightInd w:val="0"/>
        <w:spacing w:after="0" w:line="240" w:lineRule="auto"/>
        <w:rPr>
          <w:rFonts w:cs="Times New Roman"/>
        </w:rPr>
      </w:pPr>
      <w:r w:rsidRPr="0053692D">
        <w:rPr>
          <w:rFonts w:cs="Times New Roman"/>
          <w:b/>
        </w:rPr>
        <w:t>Structured Psychotherapy for Adolescents Responding to Chronic Stress (SPARCS)</w:t>
      </w:r>
      <w:r>
        <w:rPr>
          <w:rFonts w:cs="Times New Roman"/>
        </w:rPr>
        <w:t>:</w:t>
      </w:r>
      <w:r w:rsidR="006A7BD4">
        <w:rPr>
          <w:rFonts w:cs="Times New Roman"/>
        </w:rPr>
        <w:t xml:space="preserve"> Ford and </w:t>
      </w:r>
      <w:proofErr w:type="spellStart"/>
      <w:r w:rsidR="006A7BD4">
        <w:rPr>
          <w:rFonts w:cs="Times New Roman"/>
        </w:rPr>
        <w:t>Blaustein</w:t>
      </w:r>
      <w:proofErr w:type="spellEnd"/>
      <w:r w:rsidR="006A7BD4">
        <w:rPr>
          <w:rFonts w:cs="Times New Roman"/>
        </w:rPr>
        <w:t xml:space="preserve"> (2013) explain that</w:t>
      </w:r>
      <w:r w:rsidRPr="008A5786">
        <w:rPr>
          <w:rFonts w:cs="Times New Roman"/>
        </w:rPr>
        <w:t xml:space="preserve"> SPARCS is a group intervention designed to address the needs of adolescents who have experienced chronic trauma, and whose stress may be ongoing. </w:t>
      </w:r>
      <w:r w:rsidR="00EA2201">
        <w:rPr>
          <w:rFonts w:cs="Times New Roman"/>
        </w:rPr>
        <w:t xml:space="preserve">Ford and </w:t>
      </w:r>
      <w:proofErr w:type="spellStart"/>
      <w:r w:rsidR="00EA2201">
        <w:rPr>
          <w:rFonts w:cs="Times New Roman"/>
        </w:rPr>
        <w:t>Blaustein</w:t>
      </w:r>
      <w:proofErr w:type="spellEnd"/>
      <w:r w:rsidR="00EA2201">
        <w:rPr>
          <w:rFonts w:cs="Times New Roman"/>
        </w:rPr>
        <w:t xml:space="preserve"> (2013) report that t</w:t>
      </w:r>
      <w:r w:rsidRPr="008A5786">
        <w:rPr>
          <w:rFonts w:cs="Times New Roman"/>
        </w:rPr>
        <w:t xml:space="preserve">he model integrates key concepts from three evidence-based treatment programs: Dialectical Behavior Therapy (DBT; Miller et al. 2007), Trauma Affect Regulation: Guide for Education and Therapy (TARGET; Ford and Russo 2006), and the UCLA Trauma/Grief Program (Layne et al. 2002). </w:t>
      </w:r>
      <w:r w:rsidR="00EA2201">
        <w:rPr>
          <w:rFonts w:cs="Times New Roman"/>
        </w:rPr>
        <w:t xml:space="preserve">Ford and </w:t>
      </w:r>
      <w:proofErr w:type="spellStart"/>
      <w:r w:rsidR="00EA2201">
        <w:rPr>
          <w:rFonts w:cs="Times New Roman"/>
        </w:rPr>
        <w:t>Blaustein</w:t>
      </w:r>
      <w:proofErr w:type="spellEnd"/>
      <w:r w:rsidR="00EA2201">
        <w:rPr>
          <w:rFonts w:cs="Times New Roman"/>
        </w:rPr>
        <w:t xml:space="preserve"> (2013) explain that </w:t>
      </w:r>
      <w:r w:rsidRPr="008A5786">
        <w:rPr>
          <w:rFonts w:cs="Times New Roman"/>
        </w:rPr>
        <w:t>SPARCS targets core areas known to be disrupted by chronic exposure to trauma, including challenges with self-regulation, relationships, self-perception, and future goals, and emphasizes the building of adolescent capacity to cope with current stressors, build effective relationships, and develop a sense of meaning and purpose. SPARCS has been successfully implemented in a wide range of child and adolescent-serving programs and with ethnically diverse groups.</w:t>
      </w:r>
    </w:p>
    <w:p w:rsidR="006A7E2D" w:rsidRPr="008A5786" w:rsidRDefault="006A7E2D" w:rsidP="006A7E2D">
      <w:pPr>
        <w:autoSpaceDE w:val="0"/>
        <w:autoSpaceDN w:val="0"/>
        <w:adjustRightInd w:val="0"/>
        <w:spacing w:after="0" w:line="240" w:lineRule="auto"/>
        <w:rPr>
          <w:rFonts w:cs="Times New Roman"/>
        </w:rPr>
      </w:pPr>
    </w:p>
    <w:p w:rsidR="006A7E2D" w:rsidRPr="008A5786" w:rsidRDefault="006A7E2D" w:rsidP="006A7E2D">
      <w:pPr>
        <w:autoSpaceDE w:val="0"/>
        <w:autoSpaceDN w:val="0"/>
        <w:adjustRightInd w:val="0"/>
        <w:spacing w:after="0" w:line="240" w:lineRule="auto"/>
        <w:rPr>
          <w:rFonts w:cs="Times New Roman"/>
        </w:rPr>
      </w:pPr>
      <w:r w:rsidRPr="0053692D">
        <w:rPr>
          <w:rFonts w:cs="Times New Roman"/>
          <w:b/>
        </w:rPr>
        <w:t>Trauma Affect Regulation: Guide for Education and Therapy (TARGET):</w:t>
      </w:r>
      <w:r w:rsidRPr="008A5786">
        <w:rPr>
          <w:rFonts w:cs="Times New Roman"/>
        </w:rPr>
        <w:t xml:space="preserve"> TARGET</w:t>
      </w:r>
      <w:r w:rsidR="00746327">
        <w:rPr>
          <w:rFonts w:cs="Times New Roman"/>
        </w:rPr>
        <w:t xml:space="preserve"> was developed by</w:t>
      </w:r>
      <w:r w:rsidRPr="008A5786">
        <w:rPr>
          <w:rFonts w:cs="Times New Roman"/>
        </w:rPr>
        <w:t xml:space="preserve"> Ford and Russo </w:t>
      </w:r>
      <w:r w:rsidR="00746327">
        <w:rPr>
          <w:rFonts w:cs="Times New Roman"/>
        </w:rPr>
        <w:t>(</w:t>
      </w:r>
      <w:r w:rsidRPr="008A5786">
        <w:rPr>
          <w:rFonts w:cs="Times New Roman"/>
        </w:rPr>
        <w:t>2006)</w:t>
      </w:r>
      <w:r w:rsidR="00746327">
        <w:rPr>
          <w:rFonts w:cs="Times New Roman"/>
        </w:rPr>
        <w:t xml:space="preserve"> and</w:t>
      </w:r>
      <w:r w:rsidRPr="008A5786">
        <w:rPr>
          <w:rFonts w:cs="Times New Roman"/>
        </w:rPr>
        <w:t xml:space="preserve"> is an educational and therapeutic intervention for trauma-impacted adolescents and adults, which may be implemented as an individual or group therapy, or as a milieu intervention (Ford and Hawke 2012</w:t>
      </w:r>
      <w:r w:rsidR="00EA2201">
        <w:rPr>
          <w:rFonts w:cs="Times New Roman"/>
        </w:rPr>
        <w:t xml:space="preserve">, cited in Ford &amp; </w:t>
      </w:r>
      <w:proofErr w:type="spellStart"/>
      <w:r w:rsidR="00EA2201">
        <w:rPr>
          <w:rFonts w:cs="Times New Roman"/>
        </w:rPr>
        <w:t>Blaustein</w:t>
      </w:r>
      <w:proofErr w:type="spellEnd"/>
      <w:r w:rsidR="00EA2201">
        <w:rPr>
          <w:rFonts w:cs="Times New Roman"/>
        </w:rPr>
        <w:t>, 2013)</w:t>
      </w:r>
      <w:r w:rsidRPr="008A5786">
        <w:rPr>
          <w:rFonts w:cs="Times New Roman"/>
        </w:rPr>
        <w:t xml:space="preserve">. </w:t>
      </w:r>
      <w:r w:rsidR="00EA2201">
        <w:rPr>
          <w:rFonts w:cs="Times New Roman"/>
        </w:rPr>
        <w:t xml:space="preserve">According to Ford and </w:t>
      </w:r>
      <w:proofErr w:type="spellStart"/>
      <w:r w:rsidR="00EA2201">
        <w:rPr>
          <w:rFonts w:cs="Times New Roman"/>
        </w:rPr>
        <w:t>Blaustein</w:t>
      </w:r>
      <w:proofErr w:type="spellEnd"/>
      <w:r w:rsidR="00EA2201">
        <w:rPr>
          <w:rFonts w:cs="Times New Roman"/>
        </w:rPr>
        <w:t xml:space="preserve"> (2013), t</w:t>
      </w:r>
      <w:r w:rsidRPr="008A5786">
        <w:rPr>
          <w:rFonts w:cs="Times New Roman"/>
        </w:rPr>
        <w:t xml:space="preserve">he model emphasizes an understanding of trauma related </w:t>
      </w:r>
      <w:proofErr w:type="spellStart"/>
      <w:r w:rsidRPr="008A5786">
        <w:rPr>
          <w:rFonts w:cs="Times New Roman"/>
        </w:rPr>
        <w:t>dysregulation</w:t>
      </w:r>
      <w:proofErr w:type="spellEnd"/>
      <w:r w:rsidRPr="008A5786">
        <w:rPr>
          <w:rFonts w:cs="Times New Roman"/>
        </w:rPr>
        <w:t xml:space="preserve"> through the lens of the brain’s emotion regulation and executive function systems, and reframes symptoms as adaptive responses. TARGET teaches a seven step sequence of self-regulation skills summarized by an acronym (FREEDOM). The first two skills, </w:t>
      </w:r>
      <w:proofErr w:type="gramStart"/>
      <w:r w:rsidRPr="008A5786">
        <w:rPr>
          <w:rFonts w:cs="Times New Roman"/>
        </w:rPr>
        <w:t>Focusing</w:t>
      </w:r>
      <w:proofErr w:type="gramEnd"/>
      <w:r w:rsidRPr="008A5786">
        <w:rPr>
          <w:rFonts w:cs="Times New Roman"/>
        </w:rPr>
        <w:t xml:space="preserve"> and Recognizing triggers, provide a foundation for shifting from </w:t>
      </w:r>
      <w:proofErr w:type="spellStart"/>
      <w:r w:rsidRPr="008A5786">
        <w:rPr>
          <w:rFonts w:cs="Times New Roman"/>
        </w:rPr>
        <w:t>hypervigilance</w:t>
      </w:r>
      <w:proofErr w:type="spellEnd"/>
      <w:r w:rsidRPr="008A5786">
        <w:rPr>
          <w:rFonts w:cs="Times New Roman"/>
        </w:rPr>
        <w:t xml:space="preserve"> to </w:t>
      </w:r>
      <w:proofErr w:type="spellStart"/>
      <w:r w:rsidRPr="008A5786">
        <w:rPr>
          <w:rFonts w:cs="Times New Roman"/>
        </w:rPr>
        <w:t>mentalizing</w:t>
      </w:r>
      <w:proofErr w:type="spellEnd"/>
      <w:r w:rsidRPr="008A5786">
        <w:rPr>
          <w:rFonts w:cs="Times New Roman"/>
        </w:rPr>
        <w:t xml:space="preserve"> (Allen et al. 2008</w:t>
      </w:r>
      <w:r w:rsidR="00EA2201">
        <w:rPr>
          <w:rFonts w:cs="Times New Roman"/>
        </w:rPr>
        <w:t xml:space="preserve">, cited in Ford &amp; </w:t>
      </w:r>
      <w:proofErr w:type="spellStart"/>
      <w:r w:rsidR="00EA2201">
        <w:rPr>
          <w:rFonts w:cs="Times New Roman"/>
        </w:rPr>
        <w:t>Blaustein</w:t>
      </w:r>
      <w:proofErr w:type="spellEnd"/>
      <w:r w:rsidR="00EA2201">
        <w:rPr>
          <w:rFonts w:cs="Times New Roman"/>
        </w:rPr>
        <w:t>, 2013</w:t>
      </w:r>
      <w:r w:rsidRPr="008A5786">
        <w:rPr>
          <w:rFonts w:cs="Times New Roman"/>
        </w:rPr>
        <w:t>). The next four skills represent a dual-processing approach to differentiating stress-related and core value-grounded emotions, thoughts, goals, and behavioral options. The final skill teaches ways to enhance self-esteem and self-efficacy recognizing ho or justice-involved youth with dual diagnosis substance use and trauma-related disorders (Ford et al. 2012b</w:t>
      </w:r>
      <w:r w:rsidR="00A51C50">
        <w:rPr>
          <w:rFonts w:cs="Times New Roman"/>
        </w:rPr>
        <w:t xml:space="preserve">, cited in Ford &amp; </w:t>
      </w:r>
      <w:proofErr w:type="spellStart"/>
      <w:r w:rsidR="00A51C50">
        <w:rPr>
          <w:rFonts w:cs="Times New Roman"/>
        </w:rPr>
        <w:t>Blaustein</w:t>
      </w:r>
      <w:proofErr w:type="spellEnd"/>
      <w:r w:rsidR="00A51C50">
        <w:rPr>
          <w:rFonts w:cs="Times New Roman"/>
        </w:rPr>
        <w:t>, 2013</w:t>
      </w:r>
      <w:r w:rsidRPr="008A5786">
        <w:rPr>
          <w:rFonts w:cs="Times New Roman"/>
        </w:rPr>
        <w:t xml:space="preserve">), with evidence of effectiveness with detained or incarcerated </w:t>
      </w:r>
      <w:r w:rsidR="00352556">
        <w:rPr>
          <w:rFonts w:cs="Times New Roman"/>
        </w:rPr>
        <w:t>youth</w:t>
      </w:r>
      <w:r w:rsidRPr="008A5786">
        <w:rPr>
          <w:rFonts w:cs="Times New Roman"/>
        </w:rPr>
        <w:t xml:space="preserve"> provided by two quasi-experimental studies (Ford and Hawke 2012; Marrow et al. 2012</w:t>
      </w:r>
      <w:r w:rsidR="00A51C50">
        <w:rPr>
          <w:rFonts w:cs="Times New Roman"/>
        </w:rPr>
        <w:t xml:space="preserve">, cited in Ford &amp; </w:t>
      </w:r>
      <w:proofErr w:type="spellStart"/>
      <w:r w:rsidR="00A51C50">
        <w:rPr>
          <w:rFonts w:cs="Times New Roman"/>
        </w:rPr>
        <w:t>Blaustein</w:t>
      </w:r>
      <w:proofErr w:type="spellEnd"/>
      <w:r w:rsidR="00A51C50">
        <w:rPr>
          <w:rFonts w:cs="Times New Roman"/>
        </w:rPr>
        <w:t>, 2013</w:t>
      </w:r>
      <w:r w:rsidRPr="008A5786">
        <w:rPr>
          <w:rFonts w:cs="Times New Roman"/>
        </w:rPr>
        <w:t>).</w:t>
      </w:r>
    </w:p>
    <w:p w:rsidR="006A7E2D" w:rsidRPr="008A5786" w:rsidRDefault="006A7E2D" w:rsidP="006A7E2D">
      <w:pPr>
        <w:autoSpaceDE w:val="0"/>
        <w:autoSpaceDN w:val="0"/>
        <w:adjustRightInd w:val="0"/>
        <w:spacing w:after="0" w:line="240" w:lineRule="auto"/>
        <w:rPr>
          <w:rFonts w:cs="Times New Roman"/>
        </w:rPr>
      </w:pPr>
    </w:p>
    <w:p w:rsidR="006A7E2D" w:rsidRDefault="006A7E2D" w:rsidP="006A7E2D">
      <w:pPr>
        <w:autoSpaceDE w:val="0"/>
        <w:autoSpaceDN w:val="0"/>
        <w:adjustRightInd w:val="0"/>
        <w:spacing w:after="0" w:line="240" w:lineRule="auto"/>
        <w:rPr>
          <w:rFonts w:cs="Times New Roman"/>
        </w:rPr>
      </w:pPr>
      <w:r w:rsidRPr="0053692D">
        <w:rPr>
          <w:rFonts w:cs="Times New Roman"/>
          <w:b/>
        </w:rPr>
        <w:lastRenderedPageBreak/>
        <w:t>Trauma Systems Therapy (TST)</w:t>
      </w:r>
      <w:r>
        <w:rPr>
          <w:rFonts w:cs="Times New Roman"/>
        </w:rPr>
        <w:t>:</w:t>
      </w:r>
      <w:r w:rsidRPr="008A5786">
        <w:rPr>
          <w:rFonts w:cs="Times New Roman"/>
        </w:rPr>
        <w:t xml:space="preserve"> Trauma Systems Therapy (Brown et al. 2013; Saxe et al. 2006</w:t>
      </w:r>
      <w:r w:rsidR="00A51C50">
        <w:rPr>
          <w:rFonts w:cs="Times New Roman"/>
        </w:rPr>
        <w:t xml:space="preserve">, cited in Ford &amp; </w:t>
      </w:r>
      <w:proofErr w:type="spellStart"/>
      <w:r w:rsidR="00A51C50">
        <w:rPr>
          <w:rFonts w:cs="Times New Roman"/>
        </w:rPr>
        <w:t>Blaustein</w:t>
      </w:r>
      <w:proofErr w:type="spellEnd"/>
      <w:r w:rsidR="00A51C50">
        <w:rPr>
          <w:rFonts w:cs="Times New Roman"/>
        </w:rPr>
        <w:t>, 2013</w:t>
      </w:r>
      <w:r w:rsidRPr="008A5786">
        <w:rPr>
          <w:rFonts w:cs="Times New Roman"/>
        </w:rPr>
        <w:t xml:space="preserve">) is a framework for organizing intervention, with a simultaneous emphasis on the importance of (a) building the trauma-impacted child’s capacity to regulate emotional state; and (b) building a self-regulating system, and able to support the child in managing emotions. </w:t>
      </w:r>
      <w:r w:rsidR="00182CAF">
        <w:rPr>
          <w:rFonts w:cs="Times New Roman"/>
        </w:rPr>
        <w:t xml:space="preserve">Ford and </w:t>
      </w:r>
      <w:proofErr w:type="spellStart"/>
      <w:r w:rsidR="00182CAF">
        <w:rPr>
          <w:rFonts w:cs="Times New Roman"/>
        </w:rPr>
        <w:t>Blaustein</w:t>
      </w:r>
      <w:proofErr w:type="spellEnd"/>
      <w:r w:rsidR="00182CAF">
        <w:rPr>
          <w:rFonts w:cs="Times New Roman"/>
        </w:rPr>
        <w:t xml:space="preserve"> (2013) explain that </w:t>
      </w:r>
      <w:r w:rsidRPr="008A5786">
        <w:rPr>
          <w:rFonts w:cs="Times New Roman"/>
        </w:rPr>
        <w:t xml:space="preserve">TST actively targets the social environment, including the treatment system, and tailors treatment using a matrix system which identifies levels of the child’s emotion regulation and the social environment’s capacities to support this. Treatment is designed to encompass five phases: “Surviving, Stabilizing, Enduring, Understanding, and Transcending.” Within each phase psychotherapy (e.g., cognitive processing and/or emotional regulation skills training, psychopharmacology) and home and community based services and advocacy are provided. TST has been successfully used with </w:t>
      </w:r>
      <w:proofErr w:type="spellStart"/>
      <w:r w:rsidRPr="008A5786">
        <w:rPr>
          <w:rFonts w:cs="Times New Roman"/>
        </w:rPr>
        <w:t>ethnoculturally</w:t>
      </w:r>
      <w:proofErr w:type="spellEnd"/>
      <w:r w:rsidRPr="008A5786">
        <w:rPr>
          <w:rFonts w:cs="Times New Roman"/>
        </w:rPr>
        <w:t xml:space="preserve"> diverse populations of troubled </w:t>
      </w:r>
      <w:r w:rsidR="00352556">
        <w:rPr>
          <w:rFonts w:cs="Times New Roman"/>
        </w:rPr>
        <w:t>youth</w:t>
      </w:r>
      <w:r w:rsidRPr="008A5786">
        <w:rPr>
          <w:rFonts w:cs="Times New Roman"/>
        </w:rPr>
        <w:t xml:space="preserve"> and families</w:t>
      </w:r>
      <w:r>
        <w:rPr>
          <w:rFonts w:cs="Times New Roman"/>
        </w:rPr>
        <w:t xml:space="preserve"> (</w:t>
      </w:r>
      <w:r w:rsidR="00485783">
        <w:rPr>
          <w:rFonts w:cs="Times New Roman"/>
        </w:rPr>
        <w:t xml:space="preserve">Ford &amp; </w:t>
      </w:r>
      <w:proofErr w:type="spellStart"/>
      <w:r w:rsidR="00485783">
        <w:rPr>
          <w:rFonts w:cs="Times New Roman"/>
        </w:rPr>
        <w:t>Blaustein</w:t>
      </w:r>
      <w:proofErr w:type="spellEnd"/>
      <w:r w:rsidR="00485783">
        <w:rPr>
          <w:rFonts w:cs="Times New Roman"/>
        </w:rPr>
        <w:t xml:space="preserve">, 2013, </w:t>
      </w:r>
      <w:r>
        <w:rPr>
          <w:rFonts w:cs="Times New Roman"/>
        </w:rPr>
        <w:t>pp 9-10)</w:t>
      </w:r>
      <w:r w:rsidR="00066F44">
        <w:rPr>
          <w:rFonts w:cs="Times New Roman"/>
        </w:rPr>
        <w:t>.</w:t>
      </w:r>
    </w:p>
    <w:p w:rsidR="00066F44" w:rsidRDefault="00066F44" w:rsidP="006A7E2D">
      <w:pPr>
        <w:autoSpaceDE w:val="0"/>
        <w:autoSpaceDN w:val="0"/>
        <w:adjustRightInd w:val="0"/>
        <w:spacing w:after="0" w:line="240" w:lineRule="auto"/>
        <w:rPr>
          <w:rFonts w:cs="Times New Roman"/>
        </w:rPr>
      </w:pPr>
    </w:p>
    <w:p w:rsidR="00066F44" w:rsidRDefault="00066F44" w:rsidP="006A7E2D">
      <w:pPr>
        <w:autoSpaceDE w:val="0"/>
        <w:autoSpaceDN w:val="0"/>
        <w:adjustRightInd w:val="0"/>
        <w:spacing w:after="0" w:line="240" w:lineRule="auto"/>
        <w:rPr>
          <w:rFonts w:cs="Times New Roman"/>
        </w:rPr>
      </w:pPr>
      <w:r>
        <w:rPr>
          <w:rFonts w:cs="Times New Roman"/>
        </w:rPr>
        <w:t xml:space="preserve">In addition to the treatment models described above, Buffington, </w:t>
      </w:r>
      <w:proofErr w:type="spellStart"/>
      <w:r>
        <w:rPr>
          <w:rFonts w:cs="Times New Roman"/>
        </w:rPr>
        <w:t>Dierkhising</w:t>
      </w:r>
      <w:proofErr w:type="spellEnd"/>
      <w:r>
        <w:rPr>
          <w:rFonts w:cs="Times New Roman"/>
        </w:rPr>
        <w:t xml:space="preserve"> and Mars (2010) identify two </w:t>
      </w:r>
      <w:r w:rsidR="0096291F">
        <w:rPr>
          <w:rFonts w:cs="Times New Roman"/>
        </w:rPr>
        <w:t xml:space="preserve">evidence-based, </w:t>
      </w:r>
      <w:r>
        <w:rPr>
          <w:rFonts w:cs="Times New Roman"/>
        </w:rPr>
        <w:t>cognitive-behavioural treatment models—Cognitive Behavioral Intervention for Trauma in Schools (CBITS), Trauma-Focused Cognitive Behavioral Therapy (TF-</w:t>
      </w:r>
      <w:r w:rsidR="00735318">
        <w:rPr>
          <w:rFonts w:cs="Times New Roman"/>
        </w:rPr>
        <w:t>CBT)—</w:t>
      </w:r>
      <w:r>
        <w:rPr>
          <w:rFonts w:cs="Times New Roman"/>
        </w:rPr>
        <w:t>that are trauma focused</w:t>
      </w:r>
      <w:r w:rsidR="00735318">
        <w:rPr>
          <w:rFonts w:cs="Times New Roman"/>
        </w:rPr>
        <w:t xml:space="preserve"> and can be administered over a short period of time in either community or institutional settings. </w:t>
      </w:r>
    </w:p>
    <w:p w:rsidR="00066F44" w:rsidRDefault="00066F44" w:rsidP="006A7E2D">
      <w:pPr>
        <w:autoSpaceDE w:val="0"/>
        <w:autoSpaceDN w:val="0"/>
        <w:adjustRightInd w:val="0"/>
        <w:spacing w:after="0" w:line="240" w:lineRule="auto"/>
        <w:rPr>
          <w:rFonts w:cs="Times New Roman"/>
        </w:rPr>
      </w:pPr>
    </w:p>
    <w:p w:rsidR="00066F44" w:rsidRDefault="00066F44" w:rsidP="006A7E2D">
      <w:pPr>
        <w:autoSpaceDE w:val="0"/>
        <w:autoSpaceDN w:val="0"/>
        <w:adjustRightInd w:val="0"/>
        <w:spacing w:after="0" w:line="240" w:lineRule="auto"/>
      </w:pPr>
    </w:p>
    <w:p w:rsidR="00BA53F9" w:rsidRDefault="004906F1" w:rsidP="004B7DD2">
      <w:pPr>
        <w:autoSpaceDE w:val="0"/>
        <w:autoSpaceDN w:val="0"/>
        <w:adjustRightInd w:val="0"/>
        <w:spacing w:after="0" w:line="240" w:lineRule="auto"/>
        <w:rPr>
          <w:rFonts w:cs="Times New Roman"/>
          <w:b/>
        </w:rPr>
      </w:pPr>
      <w:r>
        <w:rPr>
          <w:rFonts w:cs="Times New Roman"/>
          <w:b/>
        </w:rPr>
        <w:t>E</w:t>
      </w:r>
      <w:r w:rsidR="00BA53F9" w:rsidRPr="008A5786">
        <w:rPr>
          <w:rFonts w:cs="Times New Roman"/>
          <w:b/>
        </w:rPr>
        <w:t>vidence-based</w:t>
      </w:r>
      <w:r w:rsidR="00066F44">
        <w:rPr>
          <w:rFonts w:cs="Times New Roman"/>
          <w:b/>
        </w:rPr>
        <w:t>,</w:t>
      </w:r>
      <w:r w:rsidR="00BA53F9" w:rsidRPr="008A5786">
        <w:rPr>
          <w:rFonts w:cs="Times New Roman"/>
          <w:b/>
        </w:rPr>
        <w:t xml:space="preserve"> trauma-sensitive complementary therapies</w:t>
      </w:r>
      <w:r>
        <w:rPr>
          <w:rFonts w:cs="Times New Roman"/>
          <w:b/>
        </w:rPr>
        <w:t xml:space="preserve"> as adjuncts to treatment: Promising practices</w:t>
      </w:r>
      <w:r w:rsidR="00BA53F9" w:rsidRPr="008A5786">
        <w:rPr>
          <w:rFonts w:cs="Times New Roman"/>
          <w:b/>
        </w:rPr>
        <w:t xml:space="preserve"> </w:t>
      </w:r>
      <w:r>
        <w:rPr>
          <w:rFonts w:cs="Times New Roman"/>
          <w:b/>
        </w:rPr>
        <w:t>for</w:t>
      </w:r>
      <w:r w:rsidR="003419D5" w:rsidRPr="008A5786">
        <w:rPr>
          <w:rFonts w:cs="Times New Roman"/>
          <w:b/>
        </w:rPr>
        <w:t xml:space="preserve"> adolescents with co-occurring disorders and substance abuse</w:t>
      </w:r>
    </w:p>
    <w:p w:rsidR="00A218C1" w:rsidRDefault="0013663E" w:rsidP="009C2E42">
      <w:pPr>
        <w:autoSpaceDE w:val="0"/>
        <w:autoSpaceDN w:val="0"/>
        <w:adjustRightInd w:val="0"/>
        <w:spacing w:after="0" w:line="240" w:lineRule="auto"/>
        <w:rPr>
          <w:rFonts w:cs="Arial"/>
          <w:lang w:val="en-US"/>
        </w:rPr>
      </w:pPr>
      <w:r>
        <w:rPr>
          <w:rFonts w:cs="Arial"/>
          <w:lang w:val="en-US"/>
        </w:rPr>
        <w:t xml:space="preserve">A growing body of trauma research has established that </w:t>
      </w:r>
      <w:r w:rsidR="00F76AA9" w:rsidRPr="00AE5F8D">
        <w:rPr>
          <w:rFonts w:cs="Arial"/>
          <w:lang w:val="en-US"/>
        </w:rPr>
        <w:t>exposure is associated with a range of negative</w:t>
      </w:r>
      <w:r w:rsidR="00F76AA9">
        <w:rPr>
          <w:rFonts w:cs="Arial"/>
          <w:lang w:val="en-US"/>
        </w:rPr>
        <w:t xml:space="preserve"> </w:t>
      </w:r>
      <w:proofErr w:type="spellStart"/>
      <w:r w:rsidR="00F76AA9" w:rsidRPr="00AE5F8D">
        <w:rPr>
          <w:rFonts w:cs="Arial"/>
          <w:lang w:val="en-US"/>
        </w:rPr>
        <w:t>sequelae</w:t>
      </w:r>
      <w:proofErr w:type="spellEnd"/>
      <w:r w:rsidR="00F76AA9" w:rsidRPr="00AE5F8D">
        <w:rPr>
          <w:rFonts w:cs="Arial"/>
          <w:lang w:val="en-US"/>
        </w:rPr>
        <w:t xml:space="preserve"> affecting both mental and physical health</w:t>
      </w:r>
      <w:r w:rsidR="00F76AA9">
        <w:rPr>
          <w:rFonts w:cs="Arial"/>
          <w:lang w:val="en-US"/>
        </w:rPr>
        <w:t xml:space="preserve"> </w:t>
      </w:r>
      <w:r w:rsidR="00F76AA9" w:rsidRPr="00AE5F8D">
        <w:rPr>
          <w:rFonts w:cs="Arial"/>
          <w:lang w:val="en-US"/>
        </w:rPr>
        <w:t>(American Psychiatric Association, 2000;</w:t>
      </w:r>
      <w:r>
        <w:rPr>
          <w:rFonts w:cs="Arial"/>
          <w:lang w:val="en-US"/>
        </w:rPr>
        <w:t xml:space="preserve"> cited in Spinazzola, Rhodes, et al, 2011).</w:t>
      </w:r>
      <w:r w:rsidR="00F76AA9" w:rsidRPr="00AE5F8D">
        <w:rPr>
          <w:rFonts w:cs="Arial"/>
          <w:lang w:val="en-US"/>
        </w:rPr>
        <w:t xml:space="preserve"> </w:t>
      </w:r>
      <w:r>
        <w:rPr>
          <w:rFonts w:cs="Arial"/>
          <w:lang w:val="en-US"/>
        </w:rPr>
        <w:t xml:space="preserve">Spinazzola, Rhodes, et al </w:t>
      </w:r>
      <w:r w:rsidR="009C2E42">
        <w:rPr>
          <w:rFonts w:cs="Arial"/>
          <w:lang w:val="en-US"/>
        </w:rPr>
        <w:t xml:space="preserve">(2011) </w:t>
      </w:r>
      <w:r>
        <w:rPr>
          <w:rFonts w:cs="Arial"/>
          <w:lang w:val="en-US"/>
        </w:rPr>
        <w:t>explain that d</w:t>
      </w:r>
      <w:r w:rsidR="00F76AA9" w:rsidRPr="00AE5F8D">
        <w:rPr>
          <w:rFonts w:cs="Arial"/>
          <w:lang w:val="en-US"/>
        </w:rPr>
        <w:t>espite the growing recognition of the</w:t>
      </w:r>
      <w:r w:rsidR="00F76AA9">
        <w:rPr>
          <w:rFonts w:cs="Arial"/>
          <w:lang w:val="en-US"/>
        </w:rPr>
        <w:t xml:space="preserve"> </w:t>
      </w:r>
      <w:r w:rsidR="00F76AA9" w:rsidRPr="00AE5F8D">
        <w:rPr>
          <w:rFonts w:cs="Arial"/>
          <w:lang w:val="en-US"/>
        </w:rPr>
        <w:t>inextricable connections between the body and mind in</w:t>
      </w:r>
      <w:r w:rsidR="00F76AA9">
        <w:rPr>
          <w:rFonts w:cs="Arial"/>
          <w:lang w:val="en-US"/>
        </w:rPr>
        <w:t xml:space="preserve"> </w:t>
      </w:r>
      <w:r w:rsidR="00F76AA9" w:rsidRPr="00AE5F8D">
        <w:rPr>
          <w:rFonts w:cs="Arial"/>
          <w:lang w:val="en-US"/>
        </w:rPr>
        <w:t>traumatic stress disorders</w:t>
      </w:r>
      <w:r>
        <w:rPr>
          <w:rFonts w:cs="Arial"/>
          <w:lang w:val="en-US"/>
        </w:rPr>
        <w:t>, most evidence-base treatments emphasize narrative, cognitive</w:t>
      </w:r>
      <w:r w:rsidR="00F13A7A">
        <w:rPr>
          <w:rFonts w:cs="Arial"/>
          <w:lang w:val="en-US"/>
        </w:rPr>
        <w:t xml:space="preserve">-reframing, or memory processing, even though many trauma survivors also need to include some type of somatic therapy into their treatment plan so they can achieve a sense of safety and mastery over their bodies which have become significantly </w:t>
      </w:r>
      <w:proofErr w:type="spellStart"/>
      <w:r w:rsidR="00F13A7A">
        <w:rPr>
          <w:rFonts w:cs="Arial"/>
          <w:lang w:val="en-US"/>
        </w:rPr>
        <w:t>dysregulated</w:t>
      </w:r>
      <w:proofErr w:type="spellEnd"/>
      <w:r w:rsidR="00F13A7A">
        <w:rPr>
          <w:rFonts w:cs="Arial"/>
          <w:lang w:val="en-US"/>
        </w:rPr>
        <w:t xml:space="preserve"> as a result of chronic trauma exposure (</w:t>
      </w:r>
      <w:r w:rsidR="00F76AA9" w:rsidRPr="00AE5F8D">
        <w:rPr>
          <w:rFonts w:cs="Arial"/>
          <w:lang w:val="en-US"/>
        </w:rPr>
        <w:t xml:space="preserve">van </w:t>
      </w:r>
      <w:proofErr w:type="spellStart"/>
      <w:r w:rsidR="00F76AA9" w:rsidRPr="00AE5F8D">
        <w:rPr>
          <w:rFonts w:cs="Arial"/>
          <w:lang w:val="en-US"/>
        </w:rPr>
        <w:t>der</w:t>
      </w:r>
      <w:proofErr w:type="spellEnd"/>
      <w:r w:rsidR="00F76AA9" w:rsidRPr="00AE5F8D">
        <w:rPr>
          <w:rFonts w:cs="Arial"/>
          <w:lang w:val="en-US"/>
        </w:rPr>
        <w:t xml:space="preserve"> </w:t>
      </w:r>
      <w:proofErr w:type="spellStart"/>
      <w:r w:rsidR="00F76AA9" w:rsidRPr="00AE5F8D">
        <w:rPr>
          <w:rFonts w:cs="Arial"/>
          <w:lang w:val="en-US"/>
        </w:rPr>
        <w:t>Kolk</w:t>
      </w:r>
      <w:proofErr w:type="spellEnd"/>
      <w:r w:rsidR="00F13A7A">
        <w:rPr>
          <w:rFonts w:cs="Arial"/>
          <w:lang w:val="en-US"/>
        </w:rPr>
        <w:t>,</w:t>
      </w:r>
      <w:r w:rsidR="00F76AA9" w:rsidRPr="00AE5F8D">
        <w:rPr>
          <w:rFonts w:cs="Arial"/>
          <w:lang w:val="en-US"/>
        </w:rPr>
        <w:t xml:space="preserve"> 2003</w:t>
      </w:r>
      <w:r w:rsidR="00F13A7A">
        <w:rPr>
          <w:rFonts w:cs="Arial"/>
          <w:lang w:val="en-US"/>
        </w:rPr>
        <w:t>; cited in Spinazzola, Rhodes, et al, 2011).</w:t>
      </w:r>
      <w:r w:rsidR="00F76AA9">
        <w:rPr>
          <w:rFonts w:cs="Arial"/>
          <w:lang w:val="en-US"/>
        </w:rPr>
        <w:t xml:space="preserve"> </w:t>
      </w:r>
    </w:p>
    <w:p w:rsidR="00A218C1" w:rsidRDefault="00A218C1" w:rsidP="009C2E42">
      <w:pPr>
        <w:autoSpaceDE w:val="0"/>
        <w:autoSpaceDN w:val="0"/>
        <w:adjustRightInd w:val="0"/>
        <w:spacing w:after="0" w:line="240" w:lineRule="auto"/>
        <w:rPr>
          <w:rFonts w:cs="Arial"/>
          <w:lang w:val="en-US"/>
        </w:rPr>
      </w:pPr>
    </w:p>
    <w:p w:rsidR="009C2E42" w:rsidRDefault="00A218C1" w:rsidP="009C2E42">
      <w:pPr>
        <w:autoSpaceDE w:val="0"/>
        <w:autoSpaceDN w:val="0"/>
        <w:adjustRightInd w:val="0"/>
        <w:spacing w:after="0" w:line="240" w:lineRule="auto"/>
        <w:rPr>
          <w:rFonts w:cs="Times New Roman"/>
        </w:rPr>
      </w:pPr>
      <w:r>
        <w:rPr>
          <w:rFonts w:cs="Times New Roman"/>
        </w:rPr>
        <w:t xml:space="preserve">The physical postures </w:t>
      </w:r>
      <w:r w:rsidR="00C80E66">
        <w:rPr>
          <w:rFonts w:cs="Times New Roman"/>
        </w:rPr>
        <w:t xml:space="preserve">and breath practices </w:t>
      </w:r>
      <w:r>
        <w:rPr>
          <w:rFonts w:cs="Times New Roman"/>
        </w:rPr>
        <w:t>used in yoga</w:t>
      </w:r>
      <w:r w:rsidR="00C80E66">
        <w:rPr>
          <w:rFonts w:cs="Times New Roman"/>
        </w:rPr>
        <w:t xml:space="preserve"> have been shown to help individuals create stillness in the body and mind</w:t>
      </w:r>
      <w:r>
        <w:rPr>
          <w:rFonts w:cs="Times New Roman"/>
        </w:rPr>
        <w:t xml:space="preserve"> </w:t>
      </w:r>
      <w:r w:rsidR="00C80E66">
        <w:rPr>
          <w:rFonts w:cs="Times New Roman"/>
        </w:rPr>
        <w:t>(</w:t>
      </w:r>
      <w:r w:rsidR="00C15135">
        <w:rPr>
          <w:rFonts w:cs="Times New Roman"/>
        </w:rPr>
        <w:t xml:space="preserve">Weiss, </w:t>
      </w:r>
      <w:proofErr w:type="spellStart"/>
      <w:r w:rsidR="00C15135">
        <w:rPr>
          <w:rFonts w:cs="Times New Roman"/>
        </w:rPr>
        <w:t>n.d</w:t>
      </w:r>
      <w:proofErr w:type="spellEnd"/>
      <w:r w:rsidR="00C15135">
        <w:rPr>
          <w:rFonts w:cs="Times New Roman"/>
        </w:rPr>
        <w:t>.). Based on this knowledge,</w:t>
      </w:r>
      <w:r w:rsidR="00C80E66">
        <w:rPr>
          <w:rFonts w:cs="Times New Roman"/>
        </w:rPr>
        <w:t xml:space="preserve"> </w:t>
      </w:r>
      <w:r w:rsidR="00C15135">
        <w:rPr>
          <w:rFonts w:cs="Times New Roman"/>
        </w:rPr>
        <w:t>v</w:t>
      </w:r>
      <w:r>
        <w:rPr>
          <w:rFonts w:cs="Times New Roman"/>
        </w:rPr>
        <w:t xml:space="preserve">an </w:t>
      </w:r>
      <w:proofErr w:type="spellStart"/>
      <w:r>
        <w:rPr>
          <w:rFonts w:cs="Times New Roman"/>
        </w:rPr>
        <w:t>der</w:t>
      </w:r>
      <w:proofErr w:type="spellEnd"/>
      <w:r>
        <w:rPr>
          <w:rFonts w:cs="Times New Roman"/>
        </w:rPr>
        <w:t xml:space="preserve"> </w:t>
      </w:r>
      <w:proofErr w:type="spellStart"/>
      <w:r>
        <w:rPr>
          <w:rFonts w:cs="Times New Roman"/>
        </w:rPr>
        <w:t>Kolk</w:t>
      </w:r>
      <w:proofErr w:type="spellEnd"/>
      <w:r>
        <w:rPr>
          <w:rFonts w:cs="Times New Roman"/>
        </w:rPr>
        <w:t xml:space="preserve"> and his colleagues </w:t>
      </w:r>
      <w:r w:rsidRPr="00AE5F8D">
        <w:rPr>
          <w:rFonts w:cs="Arial"/>
          <w:lang w:val="en-US"/>
        </w:rPr>
        <w:t xml:space="preserve">adapted a form of </w:t>
      </w:r>
      <w:proofErr w:type="spellStart"/>
      <w:r w:rsidRPr="00AE5F8D">
        <w:rPr>
          <w:rFonts w:cs="Arial"/>
          <w:lang w:val="en-US"/>
        </w:rPr>
        <w:t>Hatha</w:t>
      </w:r>
      <w:proofErr w:type="spellEnd"/>
      <w:r w:rsidRPr="00AE5F8D">
        <w:rPr>
          <w:rFonts w:cs="Arial"/>
          <w:lang w:val="en-US"/>
        </w:rPr>
        <w:t xml:space="preserve"> yoga into a trauma</w:t>
      </w:r>
      <w:r>
        <w:rPr>
          <w:rFonts w:cs="Arial"/>
          <w:lang w:val="en-US"/>
        </w:rPr>
        <w:t xml:space="preserve"> </w:t>
      </w:r>
      <w:r w:rsidRPr="00AE5F8D">
        <w:rPr>
          <w:rFonts w:cs="Arial"/>
          <w:lang w:val="en-US"/>
        </w:rPr>
        <w:t>sensitive</w:t>
      </w:r>
      <w:r>
        <w:rPr>
          <w:rFonts w:cs="Arial"/>
          <w:lang w:val="en-US"/>
        </w:rPr>
        <w:t xml:space="preserve"> </w:t>
      </w:r>
      <w:r w:rsidRPr="00AE5F8D">
        <w:rPr>
          <w:rFonts w:cs="Arial"/>
          <w:lang w:val="en-US"/>
        </w:rPr>
        <w:t xml:space="preserve">adjunctive component of intervention for use with complexly traumatized </w:t>
      </w:r>
      <w:r>
        <w:rPr>
          <w:rFonts w:cs="Arial"/>
          <w:lang w:val="en-US"/>
        </w:rPr>
        <w:t>individuals</w:t>
      </w:r>
      <w:r w:rsidRPr="00AE5F8D">
        <w:rPr>
          <w:rFonts w:cs="Arial"/>
          <w:lang w:val="en-US"/>
        </w:rPr>
        <w:t xml:space="preserve"> exhibiting chronic</w:t>
      </w:r>
      <w:r>
        <w:rPr>
          <w:rFonts w:cs="Arial"/>
          <w:lang w:val="en-US"/>
        </w:rPr>
        <w:t xml:space="preserve"> </w:t>
      </w:r>
      <w:r w:rsidRPr="00AE5F8D">
        <w:rPr>
          <w:rFonts w:cs="Arial"/>
          <w:lang w:val="en-US"/>
        </w:rPr>
        <w:t xml:space="preserve">affective and somatic </w:t>
      </w:r>
      <w:proofErr w:type="spellStart"/>
      <w:r w:rsidRPr="00AE5F8D">
        <w:rPr>
          <w:rFonts w:cs="Arial"/>
          <w:lang w:val="en-US"/>
        </w:rPr>
        <w:t>dysregulation</w:t>
      </w:r>
      <w:proofErr w:type="spellEnd"/>
      <w:r w:rsidRPr="00AE5F8D">
        <w:rPr>
          <w:rFonts w:cs="Arial"/>
          <w:lang w:val="en-US"/>
        </w:rPr>
        <w:t xml:space="preserve"> and associated behavioral, functioning, and health complaints</w:t>
      </w:r>
      <w:r w:rsidR="00485783">
        <w:rPr>
          <w:rFonts w:cs="Arial"/>
          <w:lang w:val="en-US"/>
        </w:rPr>
        <w:t xml:space="preserve"> (Spinazzola, Rhodes, et al, 2011)</w:t>
      </w:r>
      <w:r w:rsidRPr="00AE5F8D">
        <w:rPr>
          <w:rFonts w:cs="Arial"/>
          <w:lang w:val="en-US"/>
        </w:rPr>
        <w:t xml:space="preserve">. </w:t>
      </w:r>
      <w:r w:rsidR="009C2E42">
        <w:rPr>
          <w:rFonts w:cs="Arial"/>
          <w:lang w:val="en-US"/>
        </w:rPr>
        <w:t>A</w:t>
      </w:r>
      <w:r w:rsidR="009C2E42" w:rsidRPr="00A161A4">
        <w:rPr>
          <w:rFonts w:cs="Arial"/>
          <w:lang w:val="en-US"/>
        </w:rPr>
        <w:t xml:space="preserve"> trauma-sensitive yoga intervention is one</w:t>
      </w:r>
      <w:r w:rsidR="009C2E42">
        <w:rPr>
          <w:rFonts w:cs="Arial"/>
          <w:lang w:val="en-US"/>
        </w:rPr>
        <w:t xml:space="preserve"> such</w:t>
      </w:r>
      <w:r w:rsidR="009C2E42" w:rsidRPr="00A161A4">
        <w:rPr>
          <w:rFonts w:cs="Arial"/>
          <w:lang w:val="en-US"/>
        </w:rPr>
        <w:t xml:space="preserve"> mind–body approach to treatment</w:t>
      </w:r>
      <w:r w:rsidR="009C2E42">
        <w:rPr>
          <w:rFonts w:cs="Arial"/>
          <w:lang w:val="en-US"/>
        </w:rPr>
        <w:t xml:space="preserve"> that has</w:t>
      </w:r>
      <w:r w:rsidR="009C2E42" w:rsidRPr="00A161A4">
        <w:rPr>
          <w:rFonts w:cs="Arial"/>
          <w:lang w:val="en-US"/>
        </w:rPr>
        <w:t xml:space="preserve"> shown a positive impact on the physical and mental well-being of trauma survivors</w:t>
      </w:r>
      <w:r w:rsidR="009C2E42">
        <w:rPr>
          <w:rFonts w:cs="Arial"/>
          <w:lang w:val="en-US"/>
        </w:rPr>
        <w:t xml:space="preserve"> (Emerson, Sharma, </w:t>
      </w:r>
      <w:proofErr w:type="spellStart"/>
      <w:r w:rsidR="009C2E42">
        <w:rPr>
          <w:rFonts w:cs="Arial"/>
          <w:lang w:val="en-US"/>
        </w:rPr>
        <w:t>Chaudhry</w:t>
      </w:r>
      <w:proofErr w:type="spellEnd"/>
      <w:r w:rsidR="009C2E42">
        <w:rPr>
          <w:rFonts w:cs="Arial"/>
          <w:lang w:val="en-US"/>
        </w:rPr>
        <w:t xml:space="preserve"> &amp; Turner, 2009, cited in Spinazzola, Rhodes, et al (2011)</w:t>
      </w:r>
      <w:r w:rsidR="009C2E42" w:rsidRPr="00A161A4">
        <w:rPr>
          <w:rFonts w:cs="Arial"/>
          <w:lang w:val="en-US"/>
        </w:rPr>
        <w:t xml:space="preserve">. </w:t>
      </w:r>
      <w:r w:rsidR="009C2E42">
        <w:rPr>
          <w:rFonts w:cs="Arial"/>
          <w:lang w:val="en-US"/>
        </w:rPr>
        <w:t xml:space="preserve">Emerson, Sharma, </w:t>
      </w:r>
      <w:proofErr w:type="spellStart"/>
      <w:r w:rsidR="009C2E42">
        <w:rPr>
          <w:rFonts w:cs="Arial"/>
          <w:lang w:val="en-US"/>
        </w:rPr>
        <w:t>Chaudhry</w:t>
      </w:r>
      <w:proofErr w:type="spellEnd"/>
      <w:r w:rsidR="009C2E42">
        <w:rPr>
          <w:rFonts w:cs="Arial"/>
          <w:lang w:val="en-US"/>
        </w:rPr>
        <w:t xml:space="preserve"> and Turner explain that t</w:t>
      </w:r>
      <w:r w:rsidR="009C2E42" w:rsidRPr="00A161A4">
        <w:rPr>
          <w:rFonts w:cs="Arial"/>
          <w:lang w:val="en-US"/>
        </w:rPr>
        <w:t>hrough gentle breath and movement, trauma</w:t>
      </w:r>
      <w:r w:rsidR="009C2E42">
        <w:rPr>
          <w:rFonts w:cs="Arial"/>
          <w:lang w:val="en-US"/>
        </w:rPr>
        <w:t xml:space="preserve"> </w:t>
      </w:r>
      <w:r w:rsidR="009C2E42" w:rsidRPr="00A161A4">
        <w:rPr>
          <w:rFonts w:cs="Arial"/>
          <w:lang w:val="en-US"/>
        </w:rPr>
        <w:t>sensitive yoga offers trauma survivors a means to cultivate a more positive relationship to their bodies and ease many of the symptoms of traumatic stress (</w:t>
      </w:r>
      <w:r w:rsidR="009C2E42">
        <w:rPr>
          <w:rFonts w:cs="Arial"/>
          <w:lang w:val="en-US"/>
        </w:rPr>
        <w:t>2009, cited in Spinazzola, Rhodes, et al, 2011, p. 432).</w:t>
      </w:r>
    </w:p>
    <w:p w:rsidR="00F76AA9" w:rsidRPr="00AE5F8D" w:rsidRDefault="00F76AA9" w:rsidP="00F76AA9">
      <w:pPr>
        <w:autoSpaceDE w:val="0"/>
        <w:autoSpaceDN w:val="0"/>
        <w:adjustRightInd w:val="0"/>
        <w:spacing w:after="0" w:line="240" w:lineRule="auto"/>
        <w:rPr>
          <w:rFonts w:cs="Arial"/>
          <w:lang w:val="en-US"/>
        </w:rPr>
      </w:pPr>
    </w:p>
    <w:p w:rsidR="00626375" w:rsidRDefault="00626375" w:rsidP="00F76AA9">
      <w:pPr>
        <w:autoSpaceDE w:val="0"/>
        <w:autoSpaceDN w:val="0"/>
        <w:adjustRightInd w:val="0"/>
        <w:spacing w:after="0" w:line="240" w:lineRule="auto"/>
        <w:rPr>
          <w:rFonts w:cs="Times New Roman"/>
        </w:rPr>
      </w:pPr>
      <w:r>
        <w:rPr>
          <w:rFonts w:cs="Times New Roman"/>
        </w:rPr>
        <w:t xml:space="preserve">Bessel Van </w:t>
      </w:r>
      <w:proofErr w:type="spellStart"/>
      <w:r>
        <w:rPr>
          <w:rFonts w:cs="Times New Roman"/>
        </w:rPr>
        <w:t>der</w:t>
      </w:r>
      <w:proofErr w:type="spellEnd"/>
      <w:r>
        <w:rPr>
          <w:rFonts w:cs="Times New Roman"/>
        </w:rPr>
        <w:t xml:space="preserve"> </w:t>
      </w:r>
      <w:proofErr w:type="spellStart"/>
      <w:r>
        <w:rPr>
          <w:rFonts w:cs="Times New Roman"/>
        </w:rPr>
        <w:t>Kolk</w:t>
      </w:r>
      <w:proofErr w:type="spellEnd"/>
      <w:r>
        <w:rPr>
          <w:rFonts w:cs="Times New Roman"/>
        </w:rPr>
        <w:t xml:space="preserve"> and his colleagues at the Justice Resource Institute have done extensive research on trauma-sensitive yoga with distinct groups of trauma survivors including veterans, women survivors of domestic violence, and youth in residential treatment centres. </w:t>
      </w:r>
      <w:r w:rsidR="00182CAF">
        <w:rPr>
          <w:rFonts w:cs="Times New Roman"/>
        </w:rPr>
        <w:t>Spinazzola, Rhodes, et al (2011) note that s</w:t>
      </w:r>
      <w:r>
        <w:rPr>
          <w:rFonts w:cs="Times New Roman"/>
        </w:rPr>
        <w:t xml:space="preserve">tudies conducted with both adults and youth have shown a decrease in traumatic stress symptoms and </w:t>
      </w:r>
      <w:r>
        <w:rPr>
          <w:rFonts w:cs="Times New Roman"/>
        </w:rPr>
        <w:lastRenderedPageBreak/>
        <w:t>an increased capacity for self-regulation</w:t>
      </w:r>
      <w:r w:rsidR="009C2E42">
        <w:rPr>
          <w:rFonts w:cs="Times New Roman"/>
        </w:rPr>
        <w:t xml:space="preserve"> after participating in a trauma-sensitive yoga intervention</w:t>
      </w:r>
      <w:r>
        <w:rPr>
          <w:rFonts w:cs="Times New Roman"/>
        </w:rPr>
        <w:t xml:space="preserve">. </w:t>
      </w:r>
      <w:r>
        <w:rPr>
          <w:rFonts w:cs="Arial"/>
          <w:lang w:val="en-US"/>
        </w:rPr>
        <w:t>Reporting on a study that explored</w:t>
      </w:r>
      <w:r w:rsidR="0096291F">
        <w:rPr>
          <w:rFonts w:cs="Arial"/>
          <w:lang w:val="en-US"/>
        </w:rPr>
        <w:t xml:space="preserve"> the</w:t>
      </w:r>
      <w:r>
        <w:rPr>
          <w:rFonts w:cs="Arial"/>
          <w:lang w:val="en-US"/>
        </w:rPr>
        <w:t xml:space="preserve"> </w:t>
      </w:r>
      <w:r w:rsidRPr="00AE5F8D">
        <w:rPr>
          <w:rFonts w:cs="Arial"/>
          <w:lang w:val="en-US"/>
        </w:rPr>
        <w:t>use of yoga with traumatized youth (aged 12-21 years) in residential treatment</w:t>
      </w:r>
      <w:r>
        <w:rPr>
          <w:rFonts w:cs="Arial"/>
          <w:lang w:val="en-US"/>
        </w:rPr>
        <w:t>, Spinazzola, Rhodes, et al (2011) note that based on clinical observations, trauma-sensitive yoga shows promise as a viable means of building self-regulatory capacity in traumatized youth.</w:t>
      </w:r>
      <w:r w:rsidR="001E63B2">
        <w:rPr>
          <w:rFonts w:cs="Arial"/>
          <w:lang w:val="en-US"/>
        </w:rPr>
        <w:t xml:space="preserve"> </w:t>
      </w:r>
    </w:p>
    <w:p w:rsidR="00626375" w:rsidRDefault="00626375" w:rsidP="00F76AA9">
      <w:pPr>
        <w:autoSpaceDE w:val="0"/>
        <w:autoSpaceDN w:val="0"/>
        <w:adjustRightInd w:val="0"/>
        <w:spacing w:after="0" w:line="240" w:lineRule="auto"/>
        <w:rPr>
          <w:rFonts w:cs="Times New Roman"/>
        </w:rPr>
      </w:pPr>
    </w:p>
    <w:p w:rsidR="005E3B1E" w:rsidRDefault="009C2E42" w:rsidP="005E3B1E">
      <w:pPr>
        <w:autoSpaceDE w:val="0"/>
        <w:autoSpaceDN w:val="0"/>
        <w:adjustRightInd w:val="0"/>
        <w:spacing w:after="0" w:line="240" w:lineRule="auto"/>
        <w:rPr>
          <w:rFonts w:cs="Arial"/>
          <w:lang w:val="en-US"/>
        </w:rPr>
      </w:pPr>
      <w:r>
        <w:rPr>
          <w:rFonts w:cs="Arial"/>
          <w:lang w:val="en-US"/>
        </w:rPr>
        <w:t xml:space="preserve">Encouraged by the empirical research, </w:t>
      </w:r>
      <w:r w:rsidR="00626375">
        <w:rPr>
          <w:rFonts w:cs="Arial"/>
          <w:lang w:val="en-US"/>
        </w:rPr>
        <w:t xml:space="preserve">yoga studios and yoga-service organizations </w:t>
      </w:r>
      <w:r w:rsidR="00C15135">
        <w:rPr>
          <w:rFonts w:cs="Arial"/>
          <w:lang w:val="en-US"/>
        </w:rPr>
        <w:t xml:space="preserve">such as </w:t>
      </w:r>
      <w:r w:rsidR="00626375">
        <w:rPr>
          <w:rFonts w:cs="Arial"/>
          <w:lang w:val="en-US"/>
        </w:rPr>
        <w:t xml:space="preserve">Yoga Outreach in Vancouver, the </w:t>
      </w:r>
      <w:proofErr w:type="spellStart"/>
      <w:r w:rsidR="00626375">
        <w:rPr>
          <w:rFonts w:cs="Arial"/>
          <w:lang w:val="en-US"/>
        </w:rPr>
        <w:t>Niroga</w:t>
      </w:r>
      <w:proofErr w:type="spellEnd"/>
      <w:r w:rsidR="00626375">
        <w:rPr>
          <w:rFonts w:cs="Arial"/>
          <w:lang w:val="en-US"/>
        </w:rPr>
        <w:t xml:space="preserve"> Centre in the San Francisco Bay area, and </w:t>
      </w:r>
      <w:proofErr w:type="spellStart"/>
      <w:r w:rsidR="00626375">
        <w:rPr>
          <w:rFonts w:cs="Arial"/>
          <w:lang w:val="en-US"/>
        </w:rPr>
        <w:t>UpRising</w:t>
      </w:r>
      <w:proofErr w:type="spellEnd"/>
      <w:r w:rsidR="00626375">
        <w:rPr>
          <w:rFonts w:cs="Arial"/>
          <w:lang w:val="en-US"/>
        </w:rPr>
        <w:t xml:space="preserve"> Yoga in </w:t>
      </w:r>
      <w:r w:rsidR="004A4554">
        <w:rPr>
          <w:rFonts w:cs="Arial"/>
          <w:lang w:val="en-US"/>
        </w:rPr>
        <w:t xml:space="preserve">Los Angeles </w:t>
      </w:r>
      <w:r w:rsidR="00C15135">
        <w:rPr>
          <w:rFonts w:cs="Arial"/>
          <w:lang w:val="en-US"/>
        </w:rPr>
        <w:t>have been teaching</w:t>
      </w:r>
      <w:r w:rsidR="00B9476F">
        <w:rPr>
          <w:rFonts w:cs="Arial"/>
          <w:lang w:val="en-US"/>
        </w:rPr>
        <w:t xml:space="preserve"> trauma-sensitive yoga classes </w:t>
      </w:r>
      <w:r w:rsidR="004A4554">
        <w:rPr>
          <w:rFonts w:cs="Arial"/>
          <w:lang w:val="en-US"/>
        </w:rPr>
        <w:t xml:space="preserve">to a variety of at-risk, underserved populations </w:t>
      </w:r>
      <w:r w:rsidR="00B9476F">
        <w:rPr>
          <w:rFonts w:cs="Arial"/>
          <w:lang w:val="en-US"/>
        </w:rPr>
        <w:t>in</w:t>
      </w:r>
      <w:r w:rsidR="004A4554">
        <w:rPr>
          <w:rFonts w:cs="Arial"/>
          <w:lang w:val="en-US"/>
        </w:rPr>
        <w:t xml:space="preserve"> prisons, youth detention </w:t>
      </w:r>
      <w:proofErr w:type="spellStart"/>
      <w:r w:rsidR="004A4554">
        <w:rPr>
          <w:rFonts w:cs="Arial"/>
          <w:lang w:val="en-US"/>
        </w:rPr>
        <w:t>centres</w:t>
      </w:r>
      <w:proofErr w:type="spellEnd"/>
      <w:r w:rsidR="004A4554">
        <w:rPr>
          <w:rFonts w:cs="Arial"/>
          <w:lang w:val="en-US"/>
        </w:rPr>
        <w:t xml:space="preserve">, alternative schools in inner city areas, and residential treatment </w:t>
      </w:r>
      <w:proofErr w:type="spellStart"/>
      <w:r w:rsidR="004A4554">
        <w:rPr>
          <w:rFonts w:cs="Arial"/>
          <w:lang w:val="en-US"/>
        </w:rPr>
        <w:t>centres</w:t>
      </w:r>
      <w:proofErr w:type="spellEnd"/>
      <w:r w:rsidR="004A4554">
        <w:rPr>
          <w:rFonts w:cs="Arial"/>
          <w:lang w:val="en-US"/>
        </w:rPr>
        <w:t xml:space="preserve">. </w:t>
      </w:r>
      <w:r w:rsidR="00B9476F">
        <w:rPr>
          <w:rFonts w:cs="Arial"/>
          <w:lang w:val="en-US"/>
        </w:rPr>
        <w:t>Testimonials from participants and a</w:t>
      </w:r>
      <w:r w:rsidR="004A4554">
        <w:rPr>
          <w:rFonts w:cs="Arial"/>
          <w:lang w:val="en-US"/>
        </w:rPr>
        <w:t>necdotal evidence of the benefits of trauma-sensitive yoga to their clients</w:t>
      </w:r>
      <w:r w:rsidR="00B9476F">
        <w:rPr>
          <w:rFonts w:cs="Arial"/>
          <w:lang w:val="en-US"/>
        </w:rPr>
        <w:t xml:space="preserve"> reflect the findings in published studies</w:t>
      </w:r>
      <w:r w:rsidR="004A4554">
        <w:rPr>
          <w:rFonts w:cs="Arial"/>
          <w:lang w:val="en-US"/>
        </w:rPr>
        <w:t>,</w:t>
      </w:r>
      <w:r w:rsidR="00B9476F">
        <w:rPr>
          <w:rFonts w:cs="Arial"/>
          <w:lang w:val="en-US"/>
        </w:rPr>
        <w:t xml:space="preserve"> and</w:t>
      </w:r>
      <w:r w:rsidR="004A4554">
        <w:rPr>
          <w:rFonts w:cs="Arial"/>
          <w:lang w:val="en-US"/>
        </w:rPr>
        <w:t xml:space="preserve"> many of these yoga organizations are now </w:t>
      </w:r>
      <w:r w:rsidR="00B9476F">
        <w:rPr>
          <w:rFonts w:cs="Arial"/>
          <w:lang w:val="en-US"/>
        </w:rPr>
        <w:t xml:space="preserve">formally conducting studies and </w:t>
      </w:r>
      <w:r w:rsidR="00AD1B19">
        <w:rPr>
          <w:rFonts w:cs="Arial"/>
          <w:lang w:val="en-US"/>
        </w:rPr>
        <w:t xml:space="preserve">publishing the results in diverse professional journals and publications. </w:t>
      </w:r>
    </w:p>
    <w:p w:rsidR="0073025B" w:rsidRDefault="0073025B" w:rsidP="005E3B1E">
      <w:pPr>
        <w:autoSpaceDE w:val="0"/>
        <w:autoSpaceDN w:val="0"/>
        <w:adjustRightInd w:val="0"/>
        <w:spacing w:after="0" w:line="240" w:lineRule="auto"/>
        <w:rPr>
          <w:rFonts w:cs="Arial"/>
          <w:lang w:val="en-US"/>
        </w:rPr>
      </w:pPr>
    </w:p>
    <w:p w:rsidR="00061C3B" w:rsidRDefault="0073025B" w:rsidP="005E3B1E">
      <w:pPr>
        <w:autoSpaceDE w:val="0"/>
        <w:autoSpaceDN w:val="0"/>
        <w:adjustRightInd w:val="0"/>
        <w:spacing w:after="0" w:line="240" w:lineRule="auto"/>
        <w:rPr>
          <w:rFonts w:cs="Arial"/>
          <w:lang w:val="en-US"/>
        </w:rPr>
      </w:pPr>
      <w:r>
        <w:rPr>
          <w:rFonts w:cs="Arial"/>
          <w:lang w:val="en-US"/>
        </w:rPr>
        <w:t xml:space="preserve">The </w:t>
      </w:r>
      <w:proofErr w:type="spellStart"/>
      <w:r>
        <w:rPr>
          <w:rFonts w:cs="Arial"/>
          <w:lang w:val="en-US"/>
        </w:rPr>
        <w:t>Niroga</w:t>
      </w:r>
      <w:proofErr w:type="spellEnd"/>
      <w:r>
        <w:rPr>
          <w:rFonts w:cs="Arial"/>
          <w:lang w:val="en-US"/>
        </w:rPr>
        <w:t xml:space="preserve"> Center</w:t>
      </w:r>
      <w:r w:rsidR="00EE05D8">
        <w:rPr>
          <w:rFonts w:cs="Arial"/>
          <w:lang w:val="en-US"/>
        </w:rPr>
        <w:t xml:space="preserve"> has published two studies on the positive effects of trauma-informed yoga on at-risk youth and incarcerated youth. </w:t>
      </w:r>
      <w:proofErr w:type="spellStart"/>
      <w:r w:rsidR="007C1DCB">
        <w:rPr>
          <w:rFonts w:cs="Arial"/>
          <w:lang w:val="en-US"/>
        </w:rPr>
        <w:t>Ramadoss</w:t>
      </w:r>
      <w:proofErr w:type="spellEnd"/>
      <w:r w:rsidR="007C1DCB">
        <w:rPr>
          <w:rFonts w:cs="Arial"/>
          <w:lang w:val="en-US"/>
        </w:rPr>
        <w:t xml:space="preserve"> and Bose (2010)</w:t>
      </w:r>
      <w:r w:rsidR="00EE05D8">
        <w:rPr>
          <w:rFonts w:cs="Arial"/>
          <w:lang w:val="en-US"/>
        </w:rPr>
        <w:t xml:space="preserve"> designed </w:t>
      </w:r>
      <w:r w:rsidR="007C1DCB">
        <w:rPr>
          <w:rFonts w:cs="Arial"/>
          <w:lang w:val="en-US"/>
        </w:rPr>
        <w:t>a study to evaluate the effectiveness of the Transformative Life Skills program offered to youth incarcerated at a local juvenile justice hall</w:t>
      </w:r>
      <w:r w:rsidR="00EE05D8">
        <w:rPr>
          <w:rFonts w:cs="Arial"/>
          <w:lang w:val="en-US"/>
        </w:rPr>
        <w:t>.</w:t>
      </w:r>
      <w:r w:rsidR="007C1DCB">
        <w:rPr>
          <w:rFonts w:cs="Arial"/>
          <w:lang w:val="en-US"/>
        </w:rPr>
        <w:t xml:space="preserve"> </w:t>
      </w:r>
      <w:r w:rsidR="00101176">
        <w:rPr>
          <w:rFonts w:cs="Arial"/>
          <w:lang w:val="en-US"/>
        </w:rPr>
        <w:t xml:space="preserve">Specifically, the study employed a pre- and post-test methodology in order to measure program effectiveness at reducing stress and improving self-control among program participants. The program ran for 18 months, from June 2008 to December 2009, and </w:t>
      </w:r>
      <w:r w:rsidR="00B379F7">
        <w:rPr>
          <w:rFonts w:cs="Arial"/>
          <w:lang w:val="en-US"/>
        </w:rPr>
        <w:t xml:space="preserve">was administered as </w:t>
      </w:r>
      <w:r w:rsidR="00AE797D">
        <w:rPr>
          <w:rFonts w:cs="Arial"/>
          <w:lang w:val="en-US"/>
        </w:rPr>
        <w:t xml:space="preserve">a </w:t>
      </w:r>
      <w:r w:rsidR="00B379F7">
        <w:rPr>
          <w:rFonts w:cs="Arial"/>
          <w:lang w:val="en-US"/>
        </w:rPr>
        <w:t xml:space="preserve">60-minute class, five days per week. Participants completed baseline tests for perceived stress and self-control. </w:t>
      </w:r>
      <w:r w:rsidR="00061C3B">
        <w:rPr>
          <w:rFonts w:cs="Arial"/>
          <w:lang w:val="en-US"/>
        </w:rPr>
        <w:t>T</w:t>
      </w:r>
      <w:r w:rsidR="00B379F7">
        <w:rPr>
          <w:rFonts w:cs="Arial"/>
          <w:lang w:val="en-US"/>
        </w:rPr>
        <w:t xml:space="preserve">he </w:t>
      </w:r>
      <w:r w:rsidR="00192B90">
        <w:rPr>
          <w:rFonts w:cs="Arial"/>
          <w:lang w:val="en-US"/>
        </w:rPr>
        <w:t xml:space="preserve">results indicated </w:t>
      </w:r>
      <w:r w:rsidR="00061C3B">
        <w:rPr>
          <w:rFonts w:cs="Arial"/>
          <w:lang w:val="en-US"/>
        </w:rPr>
        <w:t xml:space="preserve">small but statistically significant decreases in stress levels and increases in self-control. The results were complemented by qualitative, observational data that </w:t>
      </w:r>
      <w:r w:rsidR="00AE797D">
        <w:rPr>
          <w:rFonts w:cs="Arial"/>
          <w:lang w:val="en-US"/>
        </w:rPr>
        <w:t xml:space="preserve">indicated </w:t>
      </w:r>
      <w:r w:rsidR="00061C3B">
        <w:rPr>
          <w:rFonts w:cs="Arial"/>
          <w:lang w:val="en-US"/>
        </w:rPr>
        <w:t>participants began to show increased self-awareness and an improved ability to resolve conflict in adaptive ways.</w:t>
      </w:r>
    </w:p>
    <w:p w:rsidR="00061C3B" w:rsidRDefault="00061C3B" w:rsidP="005E3B1E">
      <w:pPr>
        <w:autoSpaceDE w:val="0"/>
        <w:autoSpaceDN w:val="0"/>
        <w:adjustRightInd w:val="0"/>
        <w:spacing w:after="0" w:line="240" w:lineRule="auto"/>
        <w:rPr>
          <w:rFonts w:cs="Arial"/>
          <w:lang w:val="en-US"/>
        </w:rPr>
      </w:pPr>
    </w:p>
    <w:p w:rsidR="00061C3B" w:rsidRDefault="00061C3B" w:rsidP="00061C3B">
      <w:pPr>
        <w:autoSpaceDE w:val="0"/>
        <w:autoSpaceDN w:val="0"/>
        <w:adjustRightInd w:val="0"/>
        <w:spacing w:after="0" w:line="240" w:lineRule="auto"/>
        <w:rPr>
          <w:rFonts w:cs="Times New Roman"/>
        </w:rPr>
      </w:pPr>
      <w:r>
        <w:rPr>
          <w:rFonts w:cs="Times New Roman"/>
        </w:rPr>
        <w:t xml:space="preserve">A study by Frank, Bose, and </w:t>
      </w:r>
      <w:proofErr w:type="spellStart"/>
      <w:r>
        <w:rPr>
          <w:rFonts w:cs="Times New Roman"/>
        </w:rPr>
        <w:t>Schrobenhauser-Clonan</w:t>
      </w:r>
      <w:proofErr w:type="spellEnd"/>
      <w:r w:rsidR="00B9476F">
        <w:rPr>
          <w:rFonts w:cs="Times New Roman"/>
        </w:rPr>
        <w:t xml:space="preserve"> (2014)</w:t>
      </w:r>
      <w:r>
        <w:rPr>
          <w:rFonts w:cs="Times New Roman"/>
        </w:rPr>
        <w:t xml:space="preserve"> evaluated the effects of an alternative school based yoga program on adolescent mental health, emotional distress and attitudes toward violence. Frank et al (2014) explain that the </w:t>
      </w:r>
      <w:r w:rsidRPr="002D15B4">
        <w:rPr>
          <w:rFonts w:cs="Times New Roman"/>
        </w:rPr>
        <w:t xml:space="preserve">study aimed to assess the effectiveness of </w:t>
      </w:r>
      <w:r>
        <w:rPr>
          <w:rFonts w:cs="Times New Roman"/>
        </w:rPr>
        <w:t>Transformative Life Skills</w:t>
      </w:r>
      <w:r w:rsidR="00AE797D">
        <w:rPr>
          <w:rFonts w:cs="Times New Roman"/>
        </w:rPr>
        <w:t>—</w:t>
      </w:r>
      <w:r w:rsidRPr="002D15B4">
        <w:rPr>
          <w:rFonts w:cs="Times New Roman"/>
        </w:rPr>
        <w:t>a universal yoga-based</w:t>
      </w:r>
      <w:r>
        <w:rPr>
          <w:rFonts w:cs="Times New Roman"/>
        </w:rPr>
        <w:t xml:space="preserve"> </w:t>
      </w:r>
      <w:r w:rsidRPr="002D15B4">
        <w:rPr>
          <w:rFonts w:cs="Times New Roman"/>
        </w:rPr>
        <w:t>social-emotional wellness promotion program</w:t>
      </w:r>
      <w:r w:rsidR="00AE797D">
        <w:rPr>
          <w:rFonts w:cs="Times New Roman"/>
        </w:rPr>
        <w:t>—</w:t>
      </w:r>
      <w:r w:rsidRPr="002D15B4">
        <w:rPr>
          <w:rFonts w:cs="Times New Roman"/>
        </w:rPr>
        <w:t xml:space="preserve">on indicators of adolescent emotional distress, </w:t>
      </w:r>
      <w:proofErr w:type="spellStart"/>
      <w:r w:rsidRPr="002D15B4">
        <w:rPr>
          <w:rFonts w:cs="Times New Roman"/>
        </w:rPr>
        <w:t>prosocial</w:t>
      </w:r>
      <w:proofErr w:type="spellEnd"/>
      <w:r w:rsidRPr="002D15B4">
        <w:rPr>
          <w:rFonts w:cs="Times New Roman"/>
        </w:rPr>
        <w:t xml:space="preserve"> behavior,</w:t>
      </w:r>
      <w:r>
        <w:rPr>
          <w:rFonts w:cs="Times New Roman"/>
        </w:rPr>
        <w:t xml:space="preserve"> </w:t>
      </w:r>
      <w:r w:rsidRPr="002D15B4">
        <w:rPr>
          <w:rFonts w:cs="Times New Roman"/>
        </w:rPr>
        <w:t>and attitudes toward violence in a high-risk sample</w:t>
      </w:r>
      <w:r>
        <w:rPr>
          <w:rFonts w:cs="Times New Roman"/>
        </w:rPr>
        <w:t xml:space="preserve"> of </w:t>
      </w:r>
      <w:r w:rsidRPr="002D15B4">
        <w:rPr>
          <w:rFonts w:cs="Times New Roman"/>
        </w:rPr>
        <w:t>49 students attending an alternative education</w:t>
      </w:r>
      <w:r>
        <w:rPr>
          <w:rFonts w:cs="Times New Roman"/>
        </w:rPr>
        <w:t xml:space="preserve"> </w:t>
      </w:r>
      <w:r w:rsidRPr="002D15B4">
        <w:rPr>
          <w:rFonts w:cs="Times New Roman"/>
        </w:rPr>
        <w:t>school in an urban inner-city school district.</w:t>
      </w:r>
    </w:p>
    <w:p w:rsidR="00061C3B" w:rsidRDefault="00061C3B" w:rsidP="00061C3B">
      <w:pPr>
        <w:autoSpaceDE w:val="0"/>
        <w:autoSpaceDN w:val="0"/>
        <w:adjustRightInd w:val="0"/>
        <w:spacing w:after="0" w:line="240" w:lineRule="auto"/>
        <w:rPr>
          <w:rFonts w:cs="Times New Roman"/>
        </w:rPr>
      </w:pPr>
    </w:p>
    <w:p w:rsidR="00101176" w:rsidRDefault="00061C3B" w:rsidP="00061C3B">
      <w:pPr>
        <w:autoSpaceDE w:val="0"/>
        <w:autoSpaceDN w:val="0"/>
        <w:adjustRightInd w:val="0"/>
        <w:spacing w:after="0" w:line="240" w:lineRule="auto"/>
        <w:rPr>
          <w:rFonts w:cs="Arial"/>
          <w:lang w:val="en-US"/>
        </w:rPr>
      </w:pPr>
      <w:r>
        <w:rPr>
          <w:rFonts w:cs="Times New Roman"/>
        </w:rPr>
        <w:t>S</w:t>
      </w:r>
      <w:r w:rsidRPr="002D15B4">
        <w:rPr>
          <w:rFonts w:cs="Times New Roman"/>
        </w:rPr>
        <w:t>tudents who participated in the Transformative Life Skills program</w:t>
      </w:r>
      <w:r>
        <w:rPr>
          <w:rFonts w:cs="Times New Roman"/>
        </w:rPr>
        <w:t xml:space="preserve"> </w:t>
      </w:r>
      <w:r w:rsidRPr="002D15B4">
        <w:rPr>
          <w:rFonts w:cs="Times New Roman"/>
        </w:rPr>
        <w:t>demonstrated significant reductions in anxiety, depression, and</w:t>
      </w:r>
      <w:r>
        <w:rPr>
          <w:rFonts w:cs="Times New Roman"/>
        </w:rPr>
        <w:t xml:space="preserve"> </w:t>
      </w:r>
      <w:r w:rsidRPr="002D15B4">
        <w:rPr>
          <w:rFonts w:cs="Times New Roman"/>
        </w:rPr>
        <w:t>global psychological distress</w:t>
      </w:r>
      <w:r>
        <w:rPr>
          <w:rFonts w:cs="Times New Roman"/>
        </w:rPr>
        <w:t xml:space="preserve"> (Frank et al, 2014)</w:t>
      </w:r>
      <w:r w:rsidRPr="002D15B4">
        <w:rPr>
          <w:rFonts w:cs="Times New Roman"/>
        </w:rPr>
        <w:t xml:space="preserve">. </w:t>
      </w:r>
      <w:r>
        <w:rPr>
          <w:rFonts w:cs="Times New Roman"/>
        </w:rPr>
        <w:t>Furthermore, students reported s</w:t>
      </w:r>
      <w:r w:rsidRPr="002D15B4">
        <w:rPr>
          <w:rFonts w:cs="Times New Roman"/>
        </w:rPr>
        <w:t>ignificant reductions in rumination,</w:t>
      </w:r>
      <w:r>
        <w:rPr>
          <w:rFonts w:cs="Times New Roman"/>
        </w:rPr>
        <w:t xml:space="preserve"> </w:t>
      </w:r>
      <w:r w:rsidRPr="002D15B4">
        <w:rPr>
          <w:rFonts w:cs="Times New Roman"/>
        </w:rPr>
        <w:t>intrusive thoughts, physical arousal</w:t>
      </w:r>
      <w:r>
        <w:rPr>
          <w:rFonts w:cs="Times New Roman"/>
        </w:rPr>
        <w:t>;</w:t>
      </w:r>
      <w:r w:rsidRPr="002D15B4">
        <w:rPr>
          <w:rFonts w:cs="Times New Roman"/>
        </w:rPr>
        <w:t xml:space="preserve"> emotional arousal were</w:t>
      </w:r>
      <w:r>
        <w:rPr>
          <w:rFonts w:cs="Times New Roman"/>
        </w:rPr>
        <w:t xml:space="preserve"> </w:t>
      </w:r>
      <w:r w:rsidRPr="002D15B4">
        <w:rPr>
          <w:rFonts w:cs="Times New Roman"/>
        </w:rPr>
        <w:t xml:space="preserve">reported as well. </w:t>
      </w:r>
      <w:r>
        <w:rPr>
          <w:rFonts w:cs="Times New Roman"/>
        </w:rPr>
        <w:t>Frank et al (2014) note that s</w:t>
      </w:r>
      <w:r w:rsidRPr="002D15B4">
        <w:rPr>
          <w:rFonts w:cs="Times New Roman"/>
        </w:rPr>
        <w:t>tudents exposed to Transformative Life Skills reported</w:t>
      </w:r>
      <w:r>
        <w:rPr>
          <w:rFonts w:cs="Times New Roman"/>
        </w:rPr>
        <w:t xml:space="preserve"> </w:t>
      </w:r>
      <w:r w:rsidRPr="002D15B4">
        <w:rPr>
          <w:rFonts w:cs="Times New Roman"/>
        </w:rPr>
        <w:t>being significantly less likely to endorse revenge-motivation</w:t>
      </w:r>
      <w:r>
        <w:rPr>
          <w:rFonts w:cs="Times New Roman"/>
        </w:rPr>
        <w:t xml:space="preserve"> </w:t>
      </w:r>
      <w:r w:rsidRPr="002D15B4">
        <w:rPr>
          <w:rFonts w:cs="Times New Roman"/>
        </w:rPr>
        <w:t>orientations in response to interpersonal transgressions</w:t>
      </w:r>
      <w:r>
        <w:rPr>
          <w:rFonts w:cs="Times New Roman"/>
        </w:rPr>
        <w:t>; they also</w:t>
      </w:r>
      <w:r w:rsidRPr="002D15B4">
        <w:rPr>
          <w:rFonts w:cs="Times New Roman"/>
        </w:rPr>
        <w:t xml:space="preserve"> reported</w:t>
      </w:r>
      <w:r>
        <w:rPr>
          <w:rFonts w:cs="Times New Roman"/>
        </w:rPr>
        <w:t xml:space="preserve"> </w:t>
      </w:r>
      <w:r w:rsidRPr="002D15B4">
        <w:rPr>
          <w:rFonts w:cs="Times New Roman"/>
        </w:rPr>
        <w:t>overall less hostility than did students in the comparison</w:t>
      </w:r>
      <w:r>
        <w:rPr>
          <w:rFonts w:cs="Times New Roman"/>
        </w:rPr>
        <w:t xml:space="preserve"> </w:t>
      </w:r>
      <w:r w:rsidRPr="002D15B4">
        <w:rPr>
          <w:rFonts w:cs="Times New Roman"/>
        </w:rPr>
        <w:t xml:space="preserve">condition. </w:t>
      </w:r>
      <w:r>
        <w:rPr>
          <w:rFonts w:cs="Times New Roman"/>
        </w:rPr>
        <w:t>Frank et al did not see</w:t>
      </w:r>
      <w:r w:rsidRPr="002D15B4">
        <w:rPr>
          <w:rFonts w:cs="Times New Roman"/>
        </w:rPr>
        <w:t xml:space="preserve"> significant improvements in </w:t>
      </w:r>
      <w:proofErr w:type="spellStart"/>
      <w:r w:rsidRPr="002D15B4">
        <w:rPr>
          <w:rFonts w:cs="Times New Roman"/>
        </w:rPr>
        <w:t>somatization</w:t>
      </w:r>
      <w:proofErr w:type="spellEnd"/>
      <w:r w:rsidRPr="002D15B4">
        <w:rPr>
          <w:rFonts w:cs="Times New Roman"/>
        </w:rPr>
        <w:t xml:space="preserve"> or general</w:t>
      </w:r>
      <w:r>
        <w:rPr>
          <w:rFonts w:cs="Times New Roman"/>
        </w:rPr>
        <w:t xml:space="preserve"> </w:t>
      </w:r>
      <w:r w:rsidRPr="002D15B4">
        <w:rPr>
          <w:rFonts w:cs="Times New Roman"/>
        </w:rPr>
        <w:t xml:space="preserve">affect. </w:t>
      </w:r>
      <w:r>
        <w:rPr>
          <w:rFonts w:cs="Times New Roman"/>
        </w:rPr>
        <w:t>Frank et al (2014) contend that the r</w:t>
      </w:r>
      <w:r w:rsidRPr="002D15B4">
        <w:rPr>
          <w:rFonts w:cs="Times New Roman"/>
        </w:rPr>
        <w:t>esults of this pilot study provide evidence of</w:t>
      </w:r>
      <w:r>
        <w:rPr>
          <w:rFonts w:cs="Times New Roman"/>
        </w:rPr>
        <w:t xml:space="preserve"> </w:t>
      </w:r>
      <w:r w:rsidRPr="002D15B4">
        <w:rPr>
          <w:rFonts w:cs="Times New Roman"/>
        </w:rPr>
        <w:t>the potential for Transformative Life Skills to influence important</w:t>
      </w:r>
      <w:r>
        <w:rPr>
          <w:rFonts w:cs="Times New Roman"/>
        </w:rPr>
        <w:t xml:space="preserve"> </w:t>
      </w:r>
      <w:r w:rsidRPr="002D15B4">
        <w:rPr>
          <w:rFonts w:cs="Times New Roman"/>
        </w:rPr>
        <w:t xml:space="preserve">student social-emotional outcomes among high-risk youth. </w:t>
      </w:r>
      <w:r w:rsidR="00192B90">
        <w:rPr>
          <w:rFonts w:cs="Arial"/>
          <w:lang w:val="en-US"/>
        </w:rPr>
        <w:t xml:space="preserve"> </w:t>
      </w:r>
    </w:p>
    <w:p w:rsidR="00A53FA7" w:rsidRDefault="00A53FA7" w:rsidP="004B7DD2">
      <w:pPr>
        <w:autoSpaceDE w:val="0"/>
        <w:autoSpaceDN w:val="0"/>
        <w:adjustRightInd w:val="0"/>
        <w:spacing w:after="0" w:line="240" w:lineRule="auto"/>
        <w:rPr>
          <w:rFonts w:cs="Times New Roman"/>
        </w:rPr>
      </w:pPr>
    </w:p>
    <w:p w:rsidR="00BC2680" w:rsidRDefault="00B43B27" w:rsidP="004B7DD2">
      <w:pPr>
        <w:autoSpaceDE w:val="0"/>
        <w:autoSpaceDN w:val="0"/>
        <w:adjustRightInd w:val="0"/>
        <w:spacing w:after="0" w:line="240" w:lineRule="auto"/>
        <w:rPr>
          <w:rFonts w:cs="Times New Roman"/>
        </w:rPr>
      </w:pPr>
      <w:r>
        <w:rPr>
          <w:rFonts w:cs="Times New Roman"/>
        </w:rPr>
        <w:t>The Art of Yoga</w:t>
      </w:r>
      <w:r w:rsidR="0013650A">
        <w:rPr>
          <w:rStyle w:val="FootnoteReference"/>
          <w:rFonts w:cs="Times New Roman"/>
        </w:rPr>
        <w:footnoteReference w:id="14"/>
      </w:r>
      <w:r>
        <w:rPr>
          <w:rFonts w:cs="Times New Roman"/>
        </w:rPr>
        <w:t>, also located in the San Francisco Bay area, brings trauma-informed and gender responsive programming to incarcerated female youth.</w:t>
      </w:r>
      <w:r w:rsidR="00217EBA">
        <w:rPr>
          <w:rFonts w:cs="Times New Roman"/>
        </w:rPr>
        <w:t xml:space="preserve"> Harris and </w:t>
      </w:r>
      <w:proofErr w:type="spellStart"/>
      <w:r w:rsidR="00217EBA">
        <w:rPr>
          <w:rFonts w:cs="Times New Roman"/>
        </w:rPr>
        <w:t>Fitton</w:t>
      </w:r>
      <w:proofErr w:type="spellEnd"/>
      <w:r w:rsidR="00217EBA">
        <w:rPr>
          <w:rFonts w:cs="Times New Roman"/>
        </w:rPr>
        <w:t xml:space="preserve"> (2010) explain that the</w:t>
      </w:r>
      <w:r>
        <w:rPr>
          <w:rFonts w:cs="Times New Roman"/>
        </w:rPr>
        <w:t xml:space="preserve"> </w:t>
      </w:r>
      <w:r>
        <w:rPr>
          <w:rFonts w:cs="Times New Roman"/>
        </w:rPr>
        <w:lastRenderedPageBreak/>
        <w:t>program runs as a year-long, comprehensive yoga and creative arts curriculum that is a manda</w:t>
      </w:r>
      <w:r w:rsidR="00217EBA">
        <w:rPr>
          <w:rFonts w:cs="Times New Roman"/>
        </w:rPr>
        <w:t>tory part of the girls’ rehabilitation. Although the organization collects empirical data for ongoing research</w:t>
      </w:r>
      <w:r w:rsidR="00B9476F">
        <w:rPr>
          <w:rFonts w:cs="Times New Roman"/>
        </w:rPr>
        <w:t xml:space="preserve"> and accountability reporting to its funders</w:t>
      </w:r>
      <w:r w:rsidR="00217EBA">
        <w:rPr>
          <w:rFonts w:cs="Times New Roman"/>
        </w:rPr>
        <w:t>, it has not yet published an</w:t>
      </w:r>
      <w:r w:rsidR="00A82179">
        <w:rPr>
          <w:rFonts w:cs="Times New Roman"/>
        </w:rPr>
        <w:t>y</w:t>
      </w:r>
      <w:r w:rsidR="00217EBA">
        <w:rPr>
          <w:rFonts w:cs="Times New Roman"/>
        </w:rPr>
        <w:t xml:space="preserve"> empirical studies on the effectiveness of its program in reducing trauma and strengthening resiliency. </w:t>
      </w:r>
    </w:p>
    <w:p w:rsidR="00217EBA" w:rsidRDefault="00217EBA" w:rsidP="004B7DD2">
      <w:pPr>
        <w:autoSpaceDE w:val="0"/>
        <w:autoSpaceDN w:val="0"/>
        <w:adjustRightInd w:val="0"/>
        <w:spacing w:after="0" w:line="240" w:lineRule="auto"/>
        <w:rPr>
          <w:rFonts w:cs="Times New Roman"/>
        </w:rPr>
      </w:pPr>
    </w:p>
    <w:p w:rsidR="007518CC" w:rsidRDefault="00A82179" w:rsidP="004B7DD2">
      <w:pPr>
        <w:autoSpaceDE w:val="0"/>
        <w:autoSpaceDN w:val="0"/>
        <w:adjustRightInd w:val="0"/>
        <w:spacing w:after="0" w:line="240" w:lineRule="auto"/>
        <w:rPr>
          <w:rFonts w:cs="Times New Roman"/>
        </w:rPr>
      </w:pPr>
      <w:r>
        <w:rPr>
          <w:rFonts w:cs="Times New Roman"/>
        </w:rPr>
        <w:t xml:space="preserve">Street Yoga and </w:t>
      </w:r>
      <w:proofErr w:type="spellStart"/>
      <w:r>
        <w:rPr>
          <w:rFonts w:cs="Times New Roman"/>
        </w:rPr>
        <w:t>Ryther</w:t>
      </w:r>
      <w:proofErr w:type="spellEnd"/>
      <w:r>
        <w:rPr>
          <w:rFonts w:cs="Times New Roman"/>
        </w:rPr>
        <w:t xml:space="preserve"> Child Center (</w:t>
      </w:r>
      <w:r w:rsidR="00B9476F">
        <w:rPr>
          <w:rFonts w:cs="Times New Roman"/>
        </w:rPr>
        <w:t xml:space="preserve">Grove &amp; Brady, </w:t>
      </w:r>
      <w:r>
        <w:rPr>
          <w:rFonts w:cs="Times New Roman"/>
        </w:rPr>
        <w:t>2011) undertook a</w:t>
      </w:r>
      <w:r w:rsidR="007518CC">
        <w:rPr>
          <w:rFonts w:cs="Times New Roman"/>
        </w:rPr>
        <w:t xml:space="preserve"> pilot study investigating yoga as an adjunct therapy for youth in a residential treatment centre</w:t>
      </w:r>
      <w:r>
        <w:rPr>
          <w:rFonts w:cs="Times New Roman"/>
        </w:rPr>
        <w:t xml:space="preserve"> for </w:t>
      </w:r>
      <w:r w:rsidR="00B3217F">
        <w:rPr>
          <w:rFonts w:cs="Times New Roman"/>
        </w:rPr>
        <w:t xml:space="preserve">chemical dependency and youth with </w:t>
      </w:r>
      <w:proofErr w:type="spellStart"/>
      <w:r w:rsidR="00B3217F">
        <w:rPr>
          <w:rFonts w:cs="Times New Roman"/>
        </w:rPr>
        <w:t>subacute</w:t>
      </w:r>
      <w:proofErr w:type="spellEnd"/>
      <w:r w:rsidR="00B3217F">
        <w:rPr>
          <w:rFonts w:cs="Times New Roman"/>
        </w:rPr>
        <w:t xml:space="preserve"> mental health </w:t>
      </w:r>
      <w:r w:rsidR="00B340A2">
        <w:rPr>
          <w:rFonts w:cs="Times New Roman"/>
        </w:rPr>
        <w:t>diagnoses</w:t>
      </w:r>
      <w:r>
        <w:rPr>
          <w:rFonts w:cs="Times New Roman"/>
        </w:rPr>
        <w:t>. The purpose of the study</w:t>
      </w:r>
      <w:r w:rsidR="00B340A2">
        <w:rPr>
          <w:rFonts w:cs="Times New Roman"/>
        </w:rPr>
        <w:t xml:space="preserve"> wa</w:t>
      </w:r>
      <w:r>
        <w:rPr>
          <w:rFonts w:cs="Times New Roman"/>
        </w:rPr>
        <w:t>s</w:t>
      </w:r>
      <w:r w:rsidR="0013650A">
        <w:rPr>
          <w:rFonts w:cs="Times New Roman"/>
        </w:rPr>
        <w:t xml:space="preserve"> (1)</w:t>
      </w:r>
      <w:r>
        <w:rPr>
          <w:rFonts w:cs="Times New Roman"/>
        </w:rPr>
        <w:t xml:space="preserve"> to investigate whether youth who attended a yoga intervention</w:t>
      </w:r>
      <w:r w:rsidR="00B3217F">
        <w:rPr>
          <w:rFonts w:cs="Times New Roman"/>
        </w:rPr>
        <w:t xml:space="preserve"> (6 – 8 yoga classes, offered once per week)</w:t>
      </w:r>
      <w:r>
        <w:rPr>
          <w:rFonts w:cs="Times New Roman"/>
        </w:rPr>
        <w:t xml:space="preserve"> would self-report changes in body awareness and resiliency</w:t>
      </w:r>
      <w:r w:rsidR="00B340A2">
        <w:rPr>
          <w:rFonts w:cs="Times New Roman"/>
        </w:rPr>
        <w:t>, and</w:t>
      </w:r>
      <w:r w:rsidR="0013650A">
        <w:rPr>
          <w:rFonts w:cs="Times New Roman"/>
        </w:rPr>
        <w:t xml:space="preserve"> (2)</w:t>
      </w:r>
      <w:r w:rsidR="00B340A2">
        <w:rPr>
          <w:rFonts w:cs="Times New Roman"/>
        </w:rPr>
        <w:t xml:space="preserve"> to assess the validity of a research instrument designed for the study</w:t>
      </w:r>
      <w:r>
        <w:rPr>
          <w:rFonts w:cs="Times New Roman"/>
        </w:rPr>
        <w:t xml:space="preserve">. </w:t>
      </w:r>
      <w:r w:rsidR="00B3217F">
        <w:rPr>
          <w:rFonts w:cs="Times New Roman"/>
        </w:rPr>
        <w:t xml:space="preserve">The researchers designed an 18-item </w:t>
      </w:r>
      <w:proofErr w:type="spellStart"/>
      <w:r w:rsidR="00B3217F">
        <w:rPr>
          <w:rFonts w:cs="Times New Roman"/>
        </w:rPr>
        <w:t>Likert</w:t>
      </w:r>
      <w:proofErr w:type="spellEnd"/>
      <w:r w:rsidR="00B3217F">
        <w:rPr>
          <w:rFonts w:cs="Times New Roman"/>
        </w:rPr>
        <w:t xml:space="preserve"> Scale and administered the instrument at baseline and at the end of treatment</w:t>
      </w:r>
      <w:r w:rsidR="00B340A2">
        <w:rPr>
          <w:rFonts w:cs="Times New Roman"/>
        </w:rPr>
        <w:t>. The study was designed as a one group</w:t>
      </w:r>
      <w:r w:rsidR="00F31E12">
        <w:rPr>
          <w:rFonts w:cs="Times New Roman"/>
        </w:rPr>
        <w:t>,</w:t>
      </w:r>
      <w:r w:rsidR="00B340A2">
        <w:rPr>
          <w:rFonts w:cs="Times New Roman"/>
        </w:rPr>
        <w:t xml:space="preserve"> pretest-</w:t>
      </w:r>
      <w:proofErr w:type="spellStart"/>
      <w:r w:rsidR="00B340A2">
        <w:rPr>
          <w:rFonts w:cs="Times New Roman"/>
        </w:rPr>
        <w:t>posttest</w:t>
      </w:r>
      <w:proofErr w:type="spellEnd"/>
      <w:r w:rsidR="00B340A2">
        <w:rPr>
          <w:rFonts w:cs="Times New Roman"/>
        </w:rPr>
        <w:t xml:space="preserve"> (2011).</w:t>
      </w:r>
      <w:r w:rsidR="008766D8">
        <w:rPr>
          <w:rFonts w:cs="Times New Roman"/>
        </w:rPr>
        <w:t xml:space="preserve"> The authors report that g</w:t>
      </w:r>
      <w:r w:rsidR="00B340A2">
        <w:rPr>
          <w:rFonts w:cs="Times New Roman"/>
        </w:rPr>
        <w:t xml:space="preserve">iven the very small sample of youth </w:t>
      </w:r>
      <w:r w:rsidR="008766D8">
        <w:rPr>
          <w:rFonts w:cs="Times New Roman"/>
        </w:rPr>
        <w:t>who</w:t>
      </w:r>
      <w:r w:rsidR="00B340A2">
        <w:rPr>
          <w:rFonts w:cs="Times New Roman"/>
        </w:rPr>
        <w:t xml:space="preserve"> completed both a pretest and </w:t>
      </w:r>
      <w:proofErr w:type="spellStart"/>
      <w:r w:rsidR="00B340A2">
        <w:rPr>
          <w:rFonts w:cs="Times New Roman"/>
        </w:rPr>
        <w:t>posttest</w:t>
      </w:r>
      <w:proofErr w:type="spellEnd"/>
      <w:r w:rsidR="00B340A2">
        <w:rPr>
          <w:rFonts w:cs="Times New Roman"/>
        </w:rPr>
        <w:t xml:space="preserve">, </w:t>
      </w:r>
      <w:r w:rsidR="005E68B2">
        <w:rPr>
          <w:rFonts w:cs="Times New Roman"/>
        </w:rPr>
        <w:t xml:space="preserve">data </w:t>
      </w:r>
      <w:r w:rsidR="00B340A2">
        <w:rPr>
          <w:rFonts w:cs="Times New Roman"/>
        </w:rPr>
        <w:t>analysis was limited</w:t>
      </w:r>
      <w:r w:rsidR="00AC1377">
        <w:rPr>
          <w:rFonts w:cs="Times New Roman"/>
        </w:rPr>
        <w:t xml:space="preserve"> and precluded </w:t>
      </w:r>
      <w:r w:rsidR="008766D8">
        <w:rPr>
          <w:rFonts w:cs="Times New Roman"/>
        </w:rPr>
        <w:t>the ability to identify any correlations or causations.</w:t>
      </w:r>
      <w:r w:rsidR="00AC1377">
        <w:rPr>
          <w:rFonts w:cs="Times New Roman"/>
        </w:rPr>
        <w:t xml:space="preserve"> </w:t>
      </w:r>
      <w:r w:rsidR="008766D8">
        <w:rPr>
          <w:rFonts w:cs="Times New Roman"/>
        </w:rPr>
        <w:t>However</w:t>
      </w:r>
      <w:r w:rsidR="00F31E12">
        <w:rPr>
          <w:rFonts w:cs="Times New Roman"/>
        </w:rPr>
        <w:t>, the authors report that mean scores for the youth in the c</w:t>
      </w:r>
      <w:r w:rsidR="00AC1377">
        <w:rPr>
          <w:rFonts w:cs="Times New Roman"/>
        </w:rPr>
        <w:t>hemical dependency group increased on most items</w:t>
      </w:r>
      <w:r w:rsidR="00037D9F">
        <w:rPr>
          <w:rFonts w:cs="Times New Roman"/>
        </w:rPr>
        <w:t xml:space="preserve"> related to body awareness and emotional</w:t>
      </w:r>
      <w:r w:rsidR="00486311">
        <w:rPr>
          <w:rFonts w:cs="Times New Roman"/>
        </w:rPr>
        <w:t xml:space="preserve"> regulation, noticing feelings without reacting to them, </w:t>
      </w:r>
      <w:r w:rsidR="00963037">
        <w:rPr>
          <w:rFonts w:cs="Times New Roman"/>
        </w:rPr>
        <w:t>the ability to stay focused in the present, the ability to calm oneself when upset, the ability to notice body sensations when upset (2011, p 12)</w:t>
      </w:r>
      <w:r w:rsidR="005E68B2">
        <w:rPr>
          <w:rFonts w:cs="Times New Roman"/>
        </w:rPr>
        <w:t xml:space="preserve">. </w:t>
      </w:r>
      <w:r w:rsidR="00B340A2">
        <w:rPr>
          <w:rFonts w:cs="Times New Roman"/>
        </w:rPr>
        <w:t xml:space="preserve"> </w:t>
      </w:r>
      <w:r w:rsidR="004200A9">
        <w:rPr>
          <w:rFonts w:cs="Times New Roman"/>
        </w:rPr>
        <w:t>The author</w:t>
      </w:r>
      <w:r w:rsidR="0013650A">
        <w:rPr>
          <w:rFonts w:cs="Times New Roman"/>
        </w:rPr>
        <w:t>s</w:t>
      </w:r>
      <w:r w:rsidR="004200A9">
        <w:rPr>
          <w:rFonts w:cs="Times New Roman"/>
        </w:rPr>
        <w:t xml:space="preserve"> contend that their study findings align with van </w:t>
      </w:r>
      <w:proofErr w:type="spellStart"/>
      <w:r w:rsidR="004200A9">
        <w:rPr>
          <w:rFonts w:cs="Times New Roman"/>
        </w:rPr>
        <w:t>der</w:t>
      </w:r>
      <w:proofErr w:type="spellEnd"/>
      <w:r w:rsidR="004200A9">
        <w:rPr>
          <w:rFonts w:cs="Times New Roman"/>
        </w:rPr>
        <w:t xml:space="preserve"> </w:t>
      </w:r>
      <w:proofErr w:type="spellStart"/>
      <w:r w:rsidR="004200A9">
        <w:rPr>
          <w:rFonts w:cs="Times New Roman"/>
        </w:rPr>
        <w:t>Kolk’s</w:t>
      </w:r>
      <w:proofErr w:type="spellEnd"/>
      <w:r w:rsidR="004200A9">
        <w:rPr>
          <w:rFonts w:cs="Times New Roman"/>
        </w:rPr>
        <w:t xml:space="preserve"> findings that formal mindfulness practices increase awareness of internal sensory stimuli, and allow individuals to increase their ability to navigate stressful events (van </w:t>
      </w:r>
      <w:proofErr w:type="spellStart"/>
      <w:r w:rsidR="004200A9">
        <w:rPr>
          <w:rFonts w:cs="Times New Roman"/>
        </w:rPr>
        <w:t>der</w:t>
      </w:r>
      <w:proofErr w:type="spellEnd"/>
      <w:r w:rsidR="004200A9">
        <w:rPr>
          <w:rFonts w:cs="Times New Roman"/>
        </w:rPr>
        <w:t xml:space="preserve"> </w:t>
      </w:r>
      <w:proofErr w:type="spellStart"/>
      <w:r w:rsidR="004200A9">
        <w:rPr>
          <w:rFonts w:cs="Times New Roman"/>
        </w:rPr>
        <w:t>Kolk</w:t>
      </w:r>
      <w:proofErr w:type="spellEnd"/>
      <w:r w:rsidR="004200A9">
        <w:rPr>
          <w:rFonts w:cs="Times New Roman"/>
        </w:rPr>
        <w:t>, 2006, p. 12</w:t>
      </w:r>
      <w:r w:rsidR="0013650A">
        <w:rPr>
          <w:rFonts w:cs="Times New Roman"/>
        </w:rPr>
        <w:t>, cited in Grove &amp; Brady, 2011</w:t>
      </w:r>
      <w:r w:rsidR="004200A9">
        <w:rPr>
          <w:rFonts w:cs="Times New Roman"/>
        </w:rPr>
        <w:t>).</w:t>
      </w:r>
    </w:p>
    <w:p w:rsidR="007518CC" w:rsidRDefault="007518CC" w:rsidP="004B7DD2">
      <w:pPr>
        <w:autoSpaceDE w:val="0"/>
        <w:autoSpaceDN w:val="0"/>
        <w:adjustRightInd w:val="0"/>
        <w:spacing w:after="0" w:line="240" w:lineRule="auto"/>
        <w:rPr>
          <w:rFonts w:cs="Times New Roman"/>
        </w:rPr>
      </w:pPr>
    </w:p>
    <w:p w:rsidR="00F76AA9" w:rsidRDefault="002D3DA4" w:rsidP="000641A2">
      <w:pPr>
        <w:autoSpaceDE w:val="0"/>
        <w:autoSpaceDN w:val="0"/>
        <w:adjustRightInd w:val="0"/>
        <w:spacing w:after="0" w:line="240" w:lineRule="auto"/>
        <w:rPr>
          <w:rFonts w:cs="Times New Roman"/>
        </w:rPr>
      </w:pPr>
      <w:r>
        <w:rPr>
          <w:rFonts w:cs="Times New Roman"/>
        </w:rPr>
        <w:t>In a</w:t>
      </w:r>
      <w:r w:rsidR="00403983">
        <w:rPr>
          <w:rFonts w:cs="Times New Roman"/>
        </w:rPr>
        <w:t xml:space="preserve">ddition to the trauma-focused treatment frameworks </w:t>
      </w:r>
      <w:r w:rsidR="00F03727">
        <w:rPr>
          <w:rFonts w:cs="Times New Roman"/>
        </w:rPr>
        <w:t>an</w:t>
      </w:r>
      <w:r w:rsidR="009933F2">
        <w:rPr>
          <w:rFonts w:cs="Times New Roman"/>
        </w:rPr>
        <w:t>d</w:t>
      </w:r>
      <w:r w:rsidR="00F03727">
        <w:rPr>
          <w:rFonts w:cs="Times New Roman"/>
        </w:rPr>
        <w:t xml:space="preserve"> trauma-sensitive yoga </w:t>
      </w:r>
      <w:r w:rsidR="00403983">
        <w:rPr>
          <w:rFonts w:cs="Times New Roman"/>
        </w:rPr>
        <w:t xml:space="preserve">outlined </w:t>
      </w:r>
      <w:r w:rsidR="00F03727">
        <w:rPr>
          <w:rFonts w:cs="Times New Roman"/>
        </w:rPr>
        <w:t xml:space="preserve">above, </w:t>
      </w:r>
      <w:r w:rsidR="00403983">
        <w:rPr>
          <w:rFonts w:cs="Times New Roman"/>
        </w:rPr>
        <w:t xml:space="preserve">several trauma-informed/trauma-sensitive complementary therapies </w:t>
      </w:r>
      <w:r w:rsidR="00437B81">
        <w:rPr>
          <w:rFonts w:cs="Times New Roman"/>
        </w:rPr>
        <w:t xml:space="preserve">such as Mindfulness-based Stress Reduction (MBSR), </w:t>
      </w:r>
      <w:r w:rsidR="00403983">
        <w:rPr>
          <w:rFonts w:cs="Times New Roman"/>
        </w:rPr>
        <w:t>have been developed and tested as adjunct therapies for treating individuals experiencing trauma</w:t>
      </w:r>
      <w:r w:rsidR="00437B81">
        <w:rPr>
          <w:rFonts w:cs="Times New Roman"/>
        </w:rPr>
        <w:t xml:space="preserve">tic stress and other concurrent mental health difficulties or substance use disorders. </w:t>
      </w:r>
      <w:r w:rsidR="009933F2">
        <w:rPr>
          <w:rFonts w:cs="Times New Roman"/>
        </w:rPr>
        <w:t xml:space="preserve">For example, </w:t>
      </w:r>
      <w:proofErr w:type="spellStart"/>
      <w:r w:rsidR="009933F2">
        <w:rPr>
          <w:rFonts w:cs="Times New Roman"/>
        </w:rPr>
        <w:t>Biegel</w:t>
      </w:r>
      <w:proofErr w:type="spellEnd"/>
      <w:r w:rsidR="009933F2">
        <w:rPr>
          <w:rFonts w:cs="Times New Roman"/>
        </w:rPr>
        <w:t>, Brown, Shapiro and Schubert (2009) conducted a randomized clinical trial to assess whether a mindfulness-based treatment intervention would be effective for adolescents, age</w:t>
      </w:r>
      <w:r w:rsidR="00934383">
        <w:rPr>
          <w:rFonts w:cs="Times New Roman"/>
        </w:rPr>
        <w:t>s</w:t>
      </w:r>
      <w:r w:rsidR="009933F2">
        <w:rPr>
          <w:rFonts w:cs="Times New Roman"/>
        </w:rPr>
        <w:t xml:space="preserve"> 14 to 18, receiving treatment at an outpatient psychiatric facility. </w:t>
      </w:r>
      <w:proofErr w:type="spellStart"/>
      <w:r w:rsidR="009933F2">
        <w:rPr>
          <w:rFonts w:cs="Times New Roman"/>
        </w:rPr>
        <w:t>Biegel</w:t>
      </w:r>
      <w:proofErr w:type="spellEnd"/>
      <w:r w:rsidR="009933F2">
        <w:rPr>
          <w:rFonts w:cs="Times New Roman"/>
        </w:rPr>
        <w:t xml:space="preserve"> et al found that “relative to treatment</w:t>
      </w:r>
      <w:r w:rsidR="00101D93">
        <w:rPr>
          <w:rFonts w:cs="Times New Roman"/>
        </w:rPr>
        <w:t>-</w:t>
      </w:r>
      <w:r w:rsidR="009933F2">
        <w:rPr>
          <w:rFonts w:cs="Times New Roman"/>
        </w:rPr>
        <w:t>as</w:t>
      </w:r>
      <w:r w:rsidR="00101D93">
        <w:rPr>
          <w:rFonts w:cs="Times New Roman"/>
        </w:rPr>
        <w:t>-</w:t>
      </w:r>
      <w:r w:rsidR="009933F2">
        <w:rPr>
          <w:rFonts w:cs="Times New Roman"/>
        </w:rPr>
        <w:t>usual</w:t>
      </w:r>
      <w:r w:rsidR="00101D93">
        <w:rPr>
          <w:rFonts w:cs="Times New Roman"/>
        </w:rPr>
        <w:t xml:space="preserve"> control participants, those receiving MBSR self-reported reduced </w:t>
      </w:r>
      <w:r w:rsidR="00101D93" w:rsidRPr="00570D4C">
        <w:rPr>
          <w:rFonts w:cs="Times New Roman"/>
        </w:rPr>
        <w:t>symptoms of anxiety, depression, and somatic distress, and increased self-esteem and sleep quality</w:t>
      </w:r>
      <w:r w:rsidR="00101D93">
        <w:rPr>
          <w:rFonts w:cs="Times New Roman"/>
        </w:rPr>
        <w:t xml:space="preserve">” </w:t>
      </w:r>
      <w:r w:rsidR="00A53FA7">
        <w:rPr>
          <w:rFonts w:cs="Times New Roman"/>
        </w:rPr>
        <w:t xml:space="preserve">(2009, </w:t>
      </w:r>
      <w:r w:rsidR="00101D93">
        <w:rPr>
          <w:rFonts w:cs="Times New Roman"/>
        </w:rPr>
        <w:t>p. 855)</w:t>
      </w:r>
      <w:r w:rsidR="00101D93" w:rsidRPr="00570D4C">
        <w:rPr>
          <w:rFonts w:cs="Times New Roman"/>
        </w:rPr>
        <w:t xml:space="preserve">. </w:t>
      </w:r>
      <w:r w:rsidR="00101D93">
        <w:rPr>
          <w:rFonts w:cs="Times New Roman"/>
        </w:rPr>
        <w:t>Fu</w:t>
      </w:r>
      <w:r w:rsidR="00B379F7">
        <w:rPr>
          <w:rFonts w:cs="Times New Roman"/>
        </w:rPr>
        <w:t>r</w:t>
      </w:r>
      <w:r w:rsidR="00101D93">
        <w:rPr>
          <w:rFonts w:cs="Times New Roman"/>
        </w:rPr>
        <w:t>thermore</w:t>
      </w:r>
      <w:r w:rsidR="00AE797D">
        <w:rPr>
          <w:rFonts w:cs="Times New Roman"/>
        </w:rPr>
        <w:t xml:space="preserve"> according to </w:t>
      </w:r>
      <w:proofErr w:type="spellStart"/>
      <w:r w:rsidR="00AE797D">
        <w:rPr>
          <w:rFonts w:cs="Times New Roman"/>
        </w:rPr>
        <w:t>Biegel</w:t>
      </w:r>
      <w:proofErr w:type="spellEnd"/>
      <w:r w:rsidR="00AE797D">
        <w:rPr>
          <w:rFonts w:cs="Times New Roman"/>
        </w:rPr>
        <w:t xml:space="preserve"> et al</w:t>
      </w:r>
      <w:r w:rsidR="00101D93" w:rsidRPr="00570D4C">
        <w:rPr>
          <w:rFonts w:cs="Times New Roman"/>
        </w:rPr>
        <w:t xml:space="preserve">, </w:t>
      </w:r>
      <w:r w:rsidR="004D1895">
        <w:rPr>
          <w:rFonts w:cs="Times New Roman"/>
        </w:rPr>
        <w:t>“</w:t>
      </w:r>
      <w:r w:rsidR="00101D93" w:rsidRPr="00570D4C">
        <w:rPr>
          <w:rFonts w:cs="Times New Roman"/>
        </w:rPr>
        <w:t xml:space="preserve">the MBSR group showed a higher percentage of diagnostic improvement over the </w:t>
      </w:r>
      <w:r w:rsidR="00661327">
        <w:rPr>
          <w:rFonts w:cs="Times New Roman"/>
        </w:rPr>
        <w:t>five</w:t>
      </w:r>
      <w:r w:rsidR="00101D93" w:rsidRPr="00570D4C">
        <w:rPr>
          <w:rFonts w:cs="Times New Roman"/>
        </w:rPr>
        <w:t>-month study period and</w:t>
      </w:r>
      <w:r w:rsidR="00101D93">
        <w:rPr>
          <w:rFonts w:cs="Times New Roman"/>
        </w:rPr>
        <w:t xml:space="preserve"> </w:t>
      </w:r>
      <w:r w:rsidR="00101D93" w:rsidRPr="00570D4C">
        <w:rPr>
          <w:rFonts w:cs="Times New Roman"/>
        </w:rPr>
        <w:t>significant increases in global assessment of functioning scores relative to controls, as rated by condition-naïve clinicians.</w:t>
      </w:r>
      <w:r w:rsidR="00101D93">
        <w:rPr>
          <w:rFonts w:cs="Times New Roman"/>
        </w:rPr>
        <w:t xml:space="preserve"> </w:t>
      </w:r>
      <w:r w:rsidR="00101D93" w:rsidRPr="00570D4C">
        <w:rPr>
          <w:rFonts w:cs="Times New Roman"/>
        </w:rPr>
        <w:t>These results were found in both completer and intent-to-treat samples</w:t>
      </w:r>
      <w:r w:rsidR="004D1895">
        <w:rPr>
          <w:rFonts w:cs="Times New Roman"/>
        </w:rPr>
        <w:t>”</w:t>
      </w:r>
      <w:r w:rsidR="00AE797D">
        <w:rPr>
          <w:rFonts w:cs="Times New Roman"/>
        </w:rPr>
        <w:t xml:space="preserve"> (2009</w:t>
      </w:r>
      <w:r w:rsidR="004D1895">
        <w:rPr>
          <w:rFonts w:cs="Times New Roman"/>
        </w:rPr>
        <w:t>, p. 855</w:t>
      </w:r>
      <w:r w:rsidR="00AE797D">
        <w:rPr>
          <w:rFonts w:cs="Times New Roman"/>
        </w:rPr>
        <w:t>)</w:t>
      </w:r>
      <w:r w:rsidR="00101D93" w:rsidRPr="00570D4C">
        <w:rPr>
          <w:rFonts w:cs="Times New Roman"/>
        </w:rPr>
        <w:t>. The findings provide evidence that MBSR may be</w:t>
      </w:r>
      <w:r w:rsidR="00101D93">
        <w:rPr>
          <w:rFonts w:cs="Times New Roman"/>
        </w:rPr>
        <w:t xml:space="preserve"> </w:t>
      </w:r>
      <w:r w:rsidR="00101D93" w:rsidRPr="00570D4C">
        <w:rPr>
          <w:rFonts w:cs="Times New Roman"/>
        </w:rPr>
        <w:t>a beneficial adjunct to outpatient mental health treatment for adolescents.</w:t>
      </w:r>
    </w:p>
    <w:p w:rsidR="00F76AA9" w:rsidRDefault="00F76AA9" w:rsidP="000641A2">
      <w:pPr>
        <w:autoSpaceDE w:val="0"/>
        <w:autoSpaceDN w:val="0"/>
        <w:adjustRightInd w:val="0"/>
        <w:spacing w:after="0" w:line="240" w:lineRule="auto"/>
        <w:rPr>
          <w:rFonts w:cs="Times New Roman"/>
        </w:rPr>
      </w:pPr>
    </w:p>
    <w:p w:rsidR="00101D93" w:rsidRDefault="00384C71" w:rsidP="000641A2">
      <w:pPr>
        <w:autoSpaceDE w:val="0"/>
        <w:autoSpaceDN w:val="0"/>
        <w:adjustRightInd w:val="0"/>
        <w:spacing w:after="0" w:line="240" w:lineRule="auto"/>
        <w:rPr>
          <w:rFonts w:cs="Times New Roman"/>
        </w:rPr>
      </w:pPr>
      <w:r>
        <w:rPr>
          <w:rFonts w:cs="Times New Roman"/>
        </w:rPr>
        <w:t>In a study that sought to determine the feasibility of offering an MBSR</w:t>
      </w:r>
      <w:r w:rsidR="00AE797D">
        <w:rPr>
          <w:rFonts w:cs="Times New Roman"/>
        </w:rPr>
        <w:t xml:space="preserve"> program</w:t>
      </w:r>
      <w:r>
        <w:rPr>
          <w:rFonts w:cs="Times New Roman"/>
        </w:rPr>
        <w:t xml:space="preserve"> to young offenders in California, </w:t>
      </w:r>
      <w:proofErr w:type="spellStart"/>
      <w:r>
        <w:rPr>
          <w:rFonts w:cs="Times New Roman"/>
        </w:rPr>
        <w:t>Himelstein</w:t>
      </w:r>
      <w:proofErr w:type="spellEnd"/>
      <w:r>
        <w:rPr>
          <w:rFonts w:cs="Times New Roman"/>
        </w:rPr>
        <w:t>, Hastings, Shapiro</w:t>
      </w:r>
      <w:r w:rsidR="00626375">
        <w:rPr>
          <w:rFonts w:cs="Times New Roman"/>
        </w:rPr>
        <w:t>,</w:t>
      </w:r>
      <w:r>
        <w:rPr>
          <w:rFonts w:cs="Times New Roman"/>
        </w:rPr>
        <w:t xml:space="preserve"> and </w:t>
      </w:r>
      <w:proofErr w:type="spellStart"/>
      <w:r>
        <w:rPr>
          <w:rFonts w:cs="Times New Roman"/>
        </w:rPr>
        <w:t>Heery</w:t>
      </w:r>
      <w:proofErr w:type="spellEnd"/>
      <w:r>
        <w:rPr>
          <w:rFonts w:cs="Times New Roman"/>
        </w:rPr>
        <w:t xml:space="preserve"> (2012) incorporated a </w:t>
      </w:r>
      <w:r w:rsidR="00BB7DC4">
        <w:rPr>
          <w:rFonts w:cs="Times New Roman"/>
        </w:rPr>
        <w:t xml:space="preserve">qualitative component in order to bring forward the voice of the subjects. The researchers taught an adapted 10-week mindfulness–based intervention with 23 adolescent males in a youth detention centre. Drawing on interview data collected from participants at the end of the last class, </w:t>
      </w:r>
      <w:proofErr w:type="spellStart"/>
      <w:r w:rsidR="00BB7DC4">
        <w:rPr>
          <w:rFonts w:cs="Times New Roman"/>
        </w:rPr>
        <w:t>Himelstein</w:t>
      </w:r>
      <w:proofErr w:type="spellEnd"/>
      <w:r w:rsidR="00BB7DC4">
        <w:rPr>
          <w:rFonts w:cs="Times New Roman"/>
        </w:rPr>
        <w:t xml:space="preserve"> et al </w:t>
      </w:r>
      <w:r w:rsidR="00AE797D">
        <w:rPr>
          <w:rFonts w:cs="Times New Roman"/>
        </w:rPr>
        <w:t xml:space="preserve">(2012) </w:t>
      </w:r>
      <w:r w:rsidR="00BB7DC4">
        <w:rPr>
          <w:rFonts w:cs="Times New Roman"/>
        </w:rPr>
        <w:t>found four major clusters of themes</w:t>
      </w:r>
      <w:r w:rsidR="007975E0">
        <w:rPr>
          <w:rFonts w:cs="Times New Roman"/>
        </w:rPr>
        <w:t xml:space="preserve"> related to increases in subjective well-being, increases in self-regulation, increases in awareness, and an accepting attitude toward the treatment interventi</w:t>
      </w:r>
      <w:r w:rsidR="00A604D9">
        <w:rPr>
          <w:rFonts w:cs="Times New Roman"/>
        </w:rPr>
        <w:t>on. The results suggest that adapted mindfulness-based interventions are promising as a complementary treatment intervention with incarcerated youth and that the youth have an accepting attitude toward the treatment intervention.</w:t>
      </w:r>
    </w:p>
    <w:p w:rsidR="00BB7DC4" w:rsidRDefault="00BB7DC4" w:rsidP="000641A2">
      <w:pPr>
        <w:autoSpaceDE w:val="0"/>
        <w:autoSpaceDN w:val="0"/>
        <w:adjustRightInd w:val="0"/>
        <w:spacing w:after="0" w:line="240" w:lineRule="auto"/>
        <w:rPr>
          <w:rFonts w:cs="Times New Roman"/>
        </w:rPr>
      </w:pPr>
    </w:p>
    <w:p w:rsidR="00403983" w:rsidRDefault="00CC0CCA" w:rsidP="000641A2">
      <w:pPr>
        <w:autoSpaceDE w:val="0"/>
        <w:autoSpaceDN w:val="0"/>
        <w:adjustRightInd w:val="0"/>
        <w:spacing w:after="0" w:line="240" w:lineRule="auto"/>
        <w:rPr>
          <w:rFonts w:cs="Times New Roman"/>
        </w:rPr>
      </w:pPr>
      <w:r>
        <w:rPr>
          <w:rFonts w:cs="Times New Roman"/>
        </w:rPr>
        <w:lastRenderedPageBreak/>
        <w:t xml:space="preserve">More recently, mindfulness programs have been used </w:t>
      </w:r>
      <w:r w:rsidR="009B06ED">
        <w:rPr>
          <w:rFonts w:cs="Times New Roman"/>
        </w:rPr>
        <w:t>to help individuals in substance use treatment develop relapse prevention strategies</w:t>
      </w:r>
      <w:r w:rsidR="002D3DA4">
        <w:rPr>
          <w:rFonts w:cs="Times New Roman"/>
        </w:rPr>
        <w:t xml:space="preserve"> (</w:t>
      </w:r>
      <w:proofErr w:type="spellStart"/>
      <w:r w:rsidR="002D3DA4" w:rsidRPr="00570D4C">
        <w:rPr>
          <w:rFonts w:cs="Times New Roman"/>
        </w:rPr>
        <w:t>Khanna</w:t>
      </w:r>
      <w:proofErr w:type="spellEnd"/>
      <w:r w:rsidR="00A604D9">
        <w:rPr>
          <w:rFonts w:cs="Times New Roman"/>
        </w:rPr>
        <w:t xml:space="preserve"> &amp; </w:t>
      </w:r>
      <w:proofErr w:type="spellStart"/>
      <w:r w:rsidR="002D3DA4" w:rsidRPr="00570D4C">
        <w:rPr>
          <w:rFonts w:cs="Times New Roman"/>
        </w:rPr>
        <w:t>Greeson</w:t>
      </w:r>
      <w:proofErr w:type="spellEnd"/>
      <w:r w:rsidR="002D3DA4" w:rsidRPr="00570D4C">
        <w:rPr>
          <w:rFonts w:cs="Times New Roman"/>
        </w:rPr>
        <w:t xml:space="preserve">, </w:t>
      </w:r>
      <w:r w:rsidR="002D3DA4">
        <w:rPr>
          <w:rFonts w:cs="Times New Roman"/>
        </w:rPr>
        <w:t>2013)</w:t>
      </w:r>
      <w:r w:rsidR="009B06ED">
        <w:rPr>
          <w:rFonts w:cs="Times New Roman"/>
        </w:rPr>
        <w:t>, and</w:t>
      </w:r>
      <w:r w:rsidR="00A604D9">
        <w:rPr>
          <w:rFonts w:cs="Times New Roman"/>
        </w:rPr>
        <w:t xml:space="preserve"> cope effectively with poor sleep quality</w:t>
      </w:r>
      <w:r w:rsidR="00E362A1">
        <w:rPr>
          <w:rFonts w:cs="Times New Roman"/>
        </w:rPr>
        <w:t xml:space="preserve"> (Britton et al, 2010)</w:t>
      </w:r>
      <w:r w:rsidR="00A604D9">
        <w:rPr>
          <w:rFonts w:cs="Times New Roman"/>
        </w:rPr>
        <w:t xml:space="preserve"> that is associated with substance use and</w:t>
      </w:r>
      <w:r w:rsidR="00D07F04">
        <w:rPr>
          <w:rFonts w:cs="Times New Roman"/>
        </w:rPr>
        <w:t xml:space="preserve"> is a risk factor for relapse.</w:t>
      </w:r>
      <w:r w:rsidR="009B06ED">
        <w:rPr>
          <w:rFonts w:cs="Times New Roman"/>
        </w:rPr>
        <w:t xml:space="preserve"> </w:t>
      </w:r>
    </w:p>
    <w:p w:rsidR="00934383" w:rsidRDefault="00934383" w:rsidP="00934383">
      <w:pPr>
        <w:autoSpaceDE w:val="0"/>
        <w:autoSpaceDN w:val="0"/>
        <w:adjustRightInd w:val="0"/>
        <w:spacing w:after="0" w:line="240" w:lineRule="auto"/>
        <w:rPr>
          <w:rFonts w:cs="Times New Roman"/>
        </w:rPr>
      </w:pP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(2013) reviewed three mindfulness-based clinical research programs designed to help substance users with relapse prevention strategies.  </w:t>
      </w:r>
    </w:p>
    <w:p w:rsidR="00934383" w:rsidRDefault="00934383" w:rsidP="00934383">
      <w:pPr>
        <w:autoSpaceDE w:val="0"/>
        <w:autoSpaceDN w:val="0"/>
        <w:adjustRightInd w:val="0"/>
        <w:spacing w:after="0" w:line="240" w:lineRule="auto"/>
        <w:rPr>
          <w:rFonts w:cs="Times New Roman"/>
        </w:rPr>
      </w:pPr>
    </w:p>
    <w:p w:rsidR="00934383" w:rsidRPr="001379BE" w:rsidRDefault="00934383" w:rsidP="00934383">
      <w:pPr>
        <w:autoSpaceDE w:val="0"/>
        <w:autoSpaceDN w:val="0"/>
        <w:adjustRightInd w:val="0"/>
        <w:spacing w:after="0" w:line="240" w:lineRule="auto"/>
        <w:rPr>
          <w:rFonts w:cs="Times New Roman"/>
        </w:rPr>
      </w:pPr>
      <w:r>
        <w:rPr>
          <w:rFonts w:cs="Times New Roman"/>
        </w:rPr>
        <w:t xml:space="preserve">The first program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(2013) discuss is M</w:t>
      </w:r>
      <w:r w:rsidRPr="001379BE">
        <w:rPr>
          <w:rFonts w:cs="Times New Roman"/>
        </w:rPr>
        <w:t>indfulness-Based Relapse Prevention</w:t>
      </w:r>
      <w:r>
        <w:rPr>
          <w:rFonts w:cs="Times New Roman"/>
        </w:rPr>
        <w:t xml:space="preserve"> (MBRP)</w:t>
      </w:r>
      <w:r w:rsidRPr="001379BE">
        <w:rPr>
          <w:rFonts w:cs="Times New Roman"/>
        </w:rPr>
        <w:t xml:space="preserve"> for </w:t>
      </w:r>
      <w:r>
        <w:rPr>
          <w:rFonts w:cs="Times New Roman"/>
        </w:rPr>
        <w:t>a</w:t>
      </w:r>
      <w:r w:rsidRPr="001379BE">
        <w:rPr>
          <w:rFonts w:cs="Times New Roman"/>
        </w:rPr>
        <w:t xml:space="preserve">lcohol and </w:t>
      </w:r>
      <w:r>
        <w:rPr>
          <w:rFonts w:cs="Times New Roman"/>
        </w:rPr>
        <w:t>i</w:t>
      </w:r>
      <w:r w:rsidRPr="001379BE">
        <w:rPr>
          <w:rFonts w:cs="Times New Roman"/>
        </w:rPr>
        <w:t xml:space="preserve">llicit </w:t>
      </w:r>
      <w:r>
        <w:rPr>
          <w:rFonts w:cs="Times New Roman"/>
        </w:rPr>
        <w:t>s</w:t>
      </w:r>
      <w:r w:rsidRPr="001379BE">
        <w:rPr>
          <w:rFonts w:cs="Times New Roman"/>
        </w:rPr>
        <w:t>ubstance</w:t>
      </w:r>
      <w:r>
        <w:rPr>
          <w:rFonts w:cs="Times New Roman"/>
        </w:rPr>
        <w:t xml:space="preserve"> a</w:t>
      </w:r>
      <w:r w:rsidRPr="001379BE">
        <w:rPr>
          <w:rFonts w:cs="Times New Roman"/>
        </w:rPr>
        <w:t>buse</w:t>
      </w:r>
      <w:r>
        <w:rPr>
          <w:rFonts w:cs="Times New Roman"/>
        </w:rPr>
        <w:t xml:space="preserve">.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describe this program as</w:t>
      </w:r>
      <w:r w:rsidRPr="001379BE">
        <w:rPr>
          <w:rFonts w:cs="Times New Roman"/>
        </w:rPr>
        <w:t xml:space="preserve"> </w:t>
      </w:r>
      <w:r>
        <w:rPr>
          <w:rFonts w:cs="Times New Roman"/>
        </w:rPr>
        <w:t>“</w:t>
      </w:r>
      <w:r w:rsidRPr="001379BE">
        <w:rPr>
          <w:rFonts w:cs="Times New Roman"/>
        </w:rPr>
        <w:t>an 8-week, group-based,</w:t>
      </w:r>
      <w:r>
        <w:rPr>
          <w:rFonts w:cs="Times New Roman"/>
        </w:rPr>
        <w:t xml:space="preserve"> </w:t>
      </w:r>
      <w:proofErr w:type="spellStart"/>
      <w:r w:rsidRPr="001379BE">
        <w:rPr>
          <w:rFonts w:cs="Times New Roman"/>
        </w:rPr>
        <w:t>psychoeducational</w:t>
      </w:r>
      <w:proofErr w:type="spellEnd"/>
      <w:r w:rsidRPr="001379BE">
        <w:rPr>
          <w:rFonts w:cs="Times New Roman"/>
        </w:rPr>
        <w:t xml:space="preserve"> intervention that combines traditional cognitive-behavioral relapse</w:t>
      </w:r>
      <w:r>
        <w:rPr>
          <w:rFonts w:cs="Times New Roman"/>
        </w:rPr>
        <w:t xml:space="preserve"> </w:t>
      </w:r>
      <w:r w:rsidRPr="001379BE">
        <w:rPr>
          <w:rFonts w:cs="Times New Roman"/>
        </w:rPr>
        <w:t>prevention strategies with meditation training and mindful movement</w:t>
      </w:r>
      <w:r>
        <w:rPr>
          <w:rFonts w:cs="Times New Roman"/>
        </w:rPr>
        <w:t>” (2013, p. 247).</w:t>
      </w:r>
      <w:r w:rsidRPr="001379BE">
        <w:rPr>
          <w:rFonts w:cs="Times New Roman"/>
        </w:rPr>
        <w:t xml:space="preserve">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explain that t</w:t>
      </w:r>
      <w:r w:rsidRPr="001379BE">
        <w:rPr>
          <w:rFonts w:cs="Times New Roman"/>
        </w:rPr>
        <w:t>he primary goal of</w:t>
      </w:r>
      <w:r>
        <w:rPr>
          <w:rFonts w:cs="Times New Roman"/>
        </w:rPr>
        <w:t xml:space="preserve"> </w:t>
      </w:r>
      <w:r w:rsidRPr="001379BE">
        <w:rPr>
          <w:rFonts w:cs="Times New Roman"/>
        </w:rPr>
        <w:t>MBRP is to help patients tolerate uncomfortable states</w:t>
      </w:r>
      <w:r>
        <w:rPr>
          <w:rFonts w:cs="Times New Roman"/>
        </w:rPr>
        <w:t xml:space="preserve"> and </w:t>
      </w:r>
      <w:r w:rsidRPr="001379BE">
        <w:rPr>
          <w:rFonts w:cs="Times New Roman"/>
        </w:rPr>
        <w:t>difficult emotions</w:t>
      </w:r>
      <w:r>
        <w:rPr>
          <w:rFonts w:cs="Times New Roman"/>
        </w:rPr>
        <w:t xml:space="preserve"> </w:t>
      </w:r>
      <w:r w:rsidRPr="001379BE">
        <w:rPr>
          <w:rFonts w:cs="Times New Roman"/>
        </w:rPr>
        <w:t>without automatically reacting</w:t>
      </w:r>
      <w:r>
        <w:rPr>
          <w:rFonts w:cs="Times New Roman"/>
        </w:rPr>
        <w:t xml:space="preserve"> by resorting to substance use (2013, p. 248)</w:t>
      </w:r>
      <w:r w:rsidRPr="001379BE">
        <w:rPr>
          <w:rFonts w:cs="Times New Roman"/>
        </w:rPr>
        <w:t>. MBRP</w:t>
      </w:r>
      <w:r>
        <w:rPr>
          <w:rFonts w:cs="Times New Roman"/>
        </w:rPr>
        <w:t xml:space="preserve"> is informed by </w:t>
      </w:r>
      <w:proofErr w:type="spellStart"/>
      <w:r>
        <w:rPr>
          <w:rFonts w:cs="Times New Roman"/>
        </w:rPr>
        <w:t>Kabat-Zinn’s</w:t>
      </w:r>
      <w:proofErr w:type="spellEnd"/>
      <w:r>
        <w:rPr>
          <w:rFonts w:cs="Times New Roman"/>
        </w:rPr>
        <w:t xml:space="preserve"> </w:t>
      </w:r>
      <w:r w:rsidRPr="001379BE">
        <w:rPr>
          <w:rFonts w:cs="Times New Roman"/>
        </w:rPr>
        <w:t>standard, 8-week</w:t>
      </w:r>
      <w:r>
        <w:rPr>
          <w:rFonts w:cs="Times New Roman"/>
        </w:rPr>
        <w:t xml:space="preserve"> </w:t>
      </w:r>
      <w:r w:rsidRPr="001379BE">
        <w:rPr>
          <w:rFonts w:cs="Times New Roman"/>
        </w:rPr>
        <w:t>Mindfulness-Based Stress Reduction (MBSR) program</w:t>
      </w:r>
      <w:r>
        <w:rPr>
          <w:rFonts w:cs="Times New Roman"/>
        </w:rPr>
        <w:t>,</w:t>
      </w:r>
      <w:r w:rsidRPr="001379BE">
        <w:rPr>
          <w:rFonts w:cs="Times New Roman"/>
        </w:rPr>
        <w:t xml:space="preserve"> originally developed </w:t>
      </w:r>
      <w:r>
        <w:rPr>
          <w:rFonts w:cs="Times New Roman"/>
        </w:rPr>
        <w:t xml:space="preserve">to help </w:t>
      </w:r>
      <w:r w:rsidRPr="001379BE">
        <w:rPr>
          <w:rFonts w:cs="Times New Roman"/>
        </w:rPr>
        <w:t xml:space="preserve">patients with chronic pain </w:t>
      </w:r>
      <w:r>
        <w:rPr>
          <w:rFonts w:cs="Times New Roman"/>
        </w:rPr>
        <w:t>or</w:t>
      </w:r>
      <w:r w:rsidRPr="001379BE">
        <w:rPr>
          <w:rFonts w:cs="Times New Roman"/>
        </w:rPr>
        <w:t xml:space="preserve"> chronic health conditions face stress, pain</w:t>
      </w:r>
      <w:r>
        <w:rPr>
          <w:rFonts w:cs="Times New Roman"/>
        </w:rPr>
        <w:t>,</w:t>
      </w:r>
      <w:r w:rsidRPr="001379BE">
        <w:rPr>
          <w:rFonts w:cs="Times New Roman"/>
        </w:rPr>
        <w:t xml:space="preserve"> </w:t>
      </w:r>
      <w:r>
        <w:rPr>
          <w:rFonts w:cs="Times New Roman"/>
        </w:rPr>
        <w:t xml:space="preserve">and </w:t>
      </w:r>
      <w:r w:rsidRPr="001379BE">
        <w:rPr>
          <w:rFonts w:cs="Times New Roman"/>
        </w:rPr>
        <w:t>illness with greater awareness, skill, and</w:t>
      </w:r>
      <w:r>
        <w:rPr>
          <w:rFonts w:cs="Times New Roman"/>
        </w:rPr>
        <w:t xml:space="preserve"> </w:t>
      </w:r>
      <w:r w:rsidRPr="001379BE">
        <w:rPr>
          <w:rFonts w:cs="Times New Roman"/>
        </w:rPr>
        <w:t>compassion</w:t>
      </w:r>
      <w:r>
        <w:rPr>
          <w:rFonts w:cs="Times New Roman"/>
        </w:rPr>
        <w:t xml:space="preserve"> (</w:t>
      </w:r>
      <w:proofErr w:type="spellStart"/>
      <w:r>
        <w:rPr>
          <w:rFonts w:cs="Times New Roman"/>
        </w:rPr>
        <w:t>Khanna</w:t>
      </w:r>
      <w:proofErr w:type="spellEnd"/>
      <w:r>
        <w:rPr>
          <w:rFonts w:cs="Times New Roman"/>
        </w:rPr>
        <w:t xml:space="preserve"> &amp; </w:t>
      </w:r>
      <w:proofErr w:type="spellStart"/>
      <w:r>
        <w:rPr>
          <w:rFonts w:cs="Times New Roman"/>
        </w:rPr>
        <w:t>Greeson</w:t>
      </w:r>
      <w:proofErr w:type="spellEnd"/>
      <w:r>
        <w:rPr>
          <w:rFonts w:cs="Times New Roman"/>
        </w:rPr>
        <w:t>, 2013, p. 248)</w:t>
      </w:r>
      <w:r w:rsidRPr="001379BE">
        <w:rPr>
          <w:rFonts w:cs="Times New Roman"/>
        </w:rPr>
        <w:t>.</w:t>
      </w:r>
      <w:r>
        <w:rPr>
          <w:rFonts w:cs="Times New Roman"/>
        </w:rPr>
        <w:t xml:space="preserve">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explain that some modifications have been made to the </w:t>
      </w:r>
      <w:r w:rsidRPr="001379BE">
        <w:rPr>
          <w:rFonts w:cs="Times New Roman"/>
        </w:rPr>
        <w:t>original MBSR program</w:t>
      </w:r>
      <w:r>
        <w:rPr>
          <w:rFonts w:cs="Times New Roman"/>
        </w:rPr>
        <w:t xml:space="preserve">, such as replacing six weeks of </w:t>
      </w:r>
      <w:proofErr w:type="spellStart"/>
      <w:r>
        <w:rPr>
          <w:rFonts w:cs="Times New Roman"/>
        </w:rPr>
        <w:t>Hatha</w:t>
      </w:r>
      <w:proofErr w:type="spellEnd"/>
      <w:r>
        <w:rPr>
          <w:rFonts w:cs="Times New Roman"/>
        </w:rPr>
        <w:t xml:space="preserve"> yoga with</w:t>
      </w:r>
      <w:r w:rsidRPr="001379BE">
        <w:rPr>
          <w:rFonts w:cs="Times New Roman"/>
        </w:rPr>
        <w:t xml:space="preserve"> “mindful movement”</w:t>
      </w:r>
      <w:r>
        <w:rPr>
          <w:rFonts w:cs="Times New Roman"/>
        </w:rPr>
        <w:t>,</w:t>
      </w:r>
      <w:r w:rsidRPr="001379BE">
        <w:rPr>
          <w:rFonts w:cs="Times New Roman"/>
        </w:rPr>
        <w:t xml:space="preserve"> </w:t>
      </w:r>
      <w:r>
        <w:rPr>
          <w:rFonts w:cs="Times New Roman"/>
        </w:rPr>
        <w:t>which</w:t>
      </w:r>
      <w:r w:rsidRPr="001379BE">
        <w:rPr>
          <w:rFonts w:cs="Times New Roman"/>
        </w:rPr>
        <w:t xml:space="preserve"> includes</w:t>
      </w:r>
      <w:r>
        <w:rPr>
          <w:rFonts w:cs="Times New Roman"/>
        </w:rPr>
        <w:t xml:space="preserve"> </w:t>
      </w:r>
      <w:r w:rsidRPr="001379BE">
        <w:rPr>
          <w:rFonts w:cs="Times New Roman"/>
        </w:rPr>
        <w:t>light stretching and other basic, gentle movements</w:t>
      </w:r>
      <w:r>
        <w:rPr>
          <w:rFonts w:cs="Times New Roman"/>
        </w:rPr>
        <w:t xml:space="preserve"> and is taught from a trauma-sensitive framework (2013, p. 248)</w:t>
      </w:r>
      <w:r w:rsidRPr="001379BE">
        <w:rPr>
          <w:rFonts w:cs="Times New Roman"/>
        </w:rPr>
        <w:t xml:space="preserve">.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explain that a trauma-sensitive framework means “e</w:t>
      </w:r>
      <w:r w:rsidRPr="001379BE">
        <w:rPr>
          <w:rFonts w:cs="Times New Roman"/>
        </w:rPr>
        <w:t>ach movement is guided with physical</w:t>
      </w:r>
      <w:r>
        <w:rPr>
          <w:rFonts w:cs="Times New Roman"/>
        </w:rPr>
        <w:t xml:space="preserve"> </w:t>
      </w:r>
      <w:r w:rsidRPr="001379BE">
        <w:rPr>
          <w:rFonts w:cs="Times New Roman"/>
        </w:rPr>
        <w:t>safety and respect for the body at the forefront, and patients are instructed to stay with the</w:t>
      </w:r>
      <w:r>
        <w:rPr>
          <w:rFonts w:cs="Times New Roman"/>
        </w:rPr>
        <w:t xml:space="preserve"> </w:t>
      </w:r>
      <w:r w:rsidRPr="001379BE">
        <w:rPr>
          <w:rFonts w:cs="Times New Roman"/>
        </w:rPr>
        <w:t>movement as it happening, observing physical sensations of moving and stretching, while</w:t>
      </w:r>
      <w:r>
        <w:rPr>
          <w:rFonts w:cs="Times New Roman"/>
        </w:rPr>
        <w:t xml:space="preserve"> </w:t>
      </w:r>
      <w:r w:rsidRPr="001379BE">
        <w:rPr>
          <w:rFonts w:cs="Times New Roman"/>
        </w:rPr>
        <w:t>also noticing striving, thoughts, and judgments about the body</w:t>
      </w:r>
      <w:r>
        <w:rPr>
          <w:rFonts w:cs="Times New Roman"/>
        </w:rPr>
        <w:t>” (2013, p. 248)</w:t>
      </w:r>
      <w:r w:rsidRPr="001379BE">
        <w:rPr>
          <w:rFonts w:cs="Times New Roman"/>
        </w:rPr>
        <w:t>.</w:t>
      </w:r>
    </w:p>
    <w:p w:rsidR="00934383" w:rsidRDefault="00934383" w:rsidP="00934383">
      <w:pPr>
        <w:autoSpaceDE w:val="0"/>
        <w:autoSpaceDN w:val="0"/>
        <w:adjustRightInd w:val="0"/>
        <w:spacing w:after="0" w:line="240" w:lineRule="auto"/>
        <w:rPr>
          <w:rFonts w:cs="Times New Roman"/>
        </w:rPr>
      </w:pPr>
    </w:p>
    <w:p w:rsidR="00934383" w:rsidRDefault="00934383" w:rsidP="00934383">
      <w:pPr>
        <w:autoSpaceDE w:val="0"/>
        <w:autoSpaceDN w:val="0"/>
        <w:adjustRightInd w:val="0"/>
        <w:spacing w:after="0" w:line="240" w:lineRule="auto"/>
        <w:rPr>
          <w:rFonts w:cs="Times New Roman"/>
        </w:rPr>
      </w:pP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report that a</w:t>
      </w:r>
      <w:r w:rsidRPr="001379BE">
        <w:rPr>
          <w:rFonts w:cs="Times New Roman"/>
        </w:rPr>
        <w:t xml:space="preserve"> recently published </w:t>
      </w:r>
      <w:r>
        <w:rPr>
          <w:rFonts w:cs="Times New Roman"/>
        </w:rPr>
        <w:t>study of MBRP</w:t>
      </w:r>
      <w:r w:rsidRPr="001379BE">
        <w:rPr>
          <w:rFonts w:cs="Times New Roman"/>
        </w:rPr>
        <w:t xml:space="preserve"> </w:t>
      </w:r>
      <w:r>
        <w:rPr>
          <w:rFonts w:cs="Times New Roman"/>
        </w:rPr>
        <w:t>with</w:t>
      </w:r>
      <w:r w:rsidRPr="001379BE">
        <w:rPr>
          <w:rFonts w:cs="Times New Roman"/>
        </w:rPr>
        <w:t xml:space="preserve"> 168 adults with substance use disorders found that</w:t>
      </w:r>
      <w:r>
        <w:rPr>
          <w:rFonts w:cs="Times New Roman"/>
        </w:rPr>
        <w:t xml:space="preserve"> </w:t>
      </w:r>
      <w:r w:rsidRPr="001379BE">
        <w:rPr>
          <w:rFonts w:cs="Times New Roman"/>
        </w:rPr>
        <w:t>MBRP, compared to a treatment-as-usual control group, resulted in significantly lower rates</w:t>
      </w:r>
      <w:r>
        <w:rPr>
          <w:rFonts w:cs="Times New Roman"/>
        </w:rPr>
        <w:t xml:space="preserve"> </w:t>
      </w:r>
      <w:r w:rsidRPr="001379BE">
        <w:rPr>
          <w:rFonts w:cs="Times New Roman"/>
        </w:rPr>
        <w:t>of substance use at 2-month follow-up</w:t>
      </w:r>
      <w:r>
        <w:rPr>
          <w:rFonts w:cs="Times New Roman"/>
        </w:rPr>
        <w:t xml:space="preserve">; furthermore, </w:t>
      </w:r>
      <w:r w:rsidRPr="001379BE">
        <w:rPr>
          <w:rFonts w:cs="Times New Roman"/>
        </w:rPr>
        <w:t xml:space="preserve">the </w:t>
      </w:r>
      <w:r>
        <w:rPr>
          <w:rFonts w:cs="Times New Roman"/>
        </w:rPr>
        <w:t>study also</w:t>
      </w:r>
      <w:r w:rsidRPr="001379BE">
        <w:rPr>
          <w:rFonts w:cs="Times New Roman"/>
        </w:rPr>
        <w:t xml:space="preserve"> found that decreased substance</w:t>
      </w:r>
      <w:r>
        <w:rPr>
          <w:rFonts w:cs="Times New Roman"/>
        </w:rPr>
        <w:t xml:space="preserve"> </w:t>
      </w:r>
      <w:r w:rsidRPr="001379BE">
        <w:rPr>
          <w:rFonts w:cs="Times New Roman"/>
        </w:rPr>
        <w:t>use following MBRP could be explained by a weakened association between depressive</w:t>
      </w:r>
      <w:r>
        <w:rPr>
          <w:rFonts w:cs="Times New Roman"/>
        </w:rPr>
        <w:t xml:space="preserve"> </w:t>
      </w:r>
      <w:r w:rsidRPr="001379BE">
        <w:rPr>
          <w:rFonts w:cs="Times New Roman"/>
        </w:rPr>
        <w:t>symptoms and craving</w:t>
      </w:r>
      <w:r>
        <w:rPr>
          <w:rFonts w:cs="Times New Roman"/>
        </w:rPr>
        <w:t xml:space="preserve"> (2013, p. 248)</w:t>
      </w:r>
      <w:r w:rsidRPr="001379BE">
        <w:rPr>
          <w:rFonts w:cs="Times New Roman"/>
        </w:rPr>
        <w:t xml:space="preserve">.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contend that “t</w:t>
      </w:r>
      <w:r w:rsidRPr="001379BE">
        <w:rPr>
          <w:rFonts w:cs="Times New Roman"/>
        </w:rPr>
        <w:t>hese findings provide empirical support for training in</w:t>
      </w:r>
      <w:r>
        <w:rPr>
          <w:rFonts w:cs="Times New Roman"/>
        </w:rPr>
        <w:t xml:space="preserve"> </w:t>
      </w:r>
      <w:r w:rsidRPr="001379BE">
        <w:rPr>
          <w:rFonts w:cs="Times New Roman"/>
        </w:rPr>
        <w:t>mindfulness meditation and mindful movement in targeting known cognitive-affective risk</w:t>
      </w:r>
      <w:r>
        <w:rPr>
          <w:rFonts w:cs="Times New Roman"/>
        </w:rPr>
        <w:t xml:space="preserve"> </w:t>
      </w:r>
      <w:r w:rsidRPr="001379BE">
        <w:rPr>
          <w:rFonts w:cs="Times New Roman"/>
        </w:rPr>
        <w:t>mechanisms underlying relapse</w:t>
      </w:r>
      <w:r>
        <w:rPr>
          <w:rFonts w:cs="Times New Roman"/>
        </w:rPr>
        <w:t>” (2013, p. 248)</w:t>
      </w:r>
      <w:r w:rsidRPr="001379BE">
        <w:rPr>
          <w:rFonts w:cs="Times New Roman"/>
        </w:rPr>
        <w:t xml:space="preserve">. </w:t>
      </w:r>
      <w:r>
        <w:rPr>
          <w:rFonts w:cs="Times New Roman"/>
        </w:rPr>
        <w:t>Based on o</w:t>
      </w:r>
      <w:r w:rsidRPr="001379BE">
        <w:rPr>
          <w:rFonts w:cs="Times New Roman"/>
        </w:rPr>
        <w:t>ther research</w:t>
      </w:r>
      <w:r>
        <w:rPr>
          <w:rFonts w:cs="Times New Roman"/>
        </w:rPr>
        <w:t xml:space="preserve"> on the </w:t>
      </w:r>
      <w:proofErr w:type="spellStart"/>
      <w:r>
        <w:rPr>
          <w:rFonts w:cs="Times New Roman"/>
        </w:rPr>
        <w:t>pathophysiology</w:t>
      </w:r>
      <w:proofErr w:type="spellEnd"/>
      <w:r>
        <w:rPr>
          <w:rFonts w:cs="Times New Roman"/>
        </w:rPr>
        <w:t xml:space="preserve"> of addiction,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suggest </w:t>
      </w:r>
      <w:r w:rsidRPr="001379BE">
        <w:rPr>
          <w:rFonts w:cs="Times New Roman"/>
        </w:rPr>
        <w:t xml:space="preserve">it is plausible that </w:t>
      </w:r>
      <w:r>
        <w:rPr>
          <w:rFonts w:cs="Times New Roman"/>
        </w:rPr>
        <w:t>“</w:t>
      </w:r>
      <w:r w:rsidRPr="001379BE">
        <w:rPr>
          <w:rFonts w:cs="Times New Roman"/>
        </w:rPr>
        <w:t>meditation and</w:t>
      </w:r>
      <w:r>
        <w:rPr>
          <w:rFonts w:cs="Times New Roman"/>
        </w:rPr>
        <w:t xml:space="preserve"> </w:t>
      </w:r>
      <w:r w:rsidRPr="001379BE">
        <w:rPr>
          <w:rFonts w:cs="Times New Roman"/>
        </w:rPr>
        <w:t>mindful movement or yoga could complement conventional</w:t>
      </w:r>
      <w:r>
        <w:rPr>
          <w:rFonts w:cs="Times New Roman"/>
        </w:rPr>
        <w:t xml:space="preserve"> [substance treatment]</w:t>
      </w:r>
      <w:r w:rsidRPr="001379BE">
        <w:rPr>
          <w:rFonts w:cs="Times New Roman"/>
        </w:rPr>
        <w:t xml:space="preserve"> care by mitigating the highly</w:t>
      </w:r>
      <w:r>
        <w:rPr>
          <w:rFonts w:cs="Times New Roman"/>
        </w:rPr>
        <w:t xml:space="preserve"> </w:t>
      </w:r>
      <w:r w:rsidRPr="001379BE">
        <w:rPr>
          <w:rFonts w:cs="Times New Roman"/>
        </w:rPr>
        <w:t>conditioned chain of cognitive, emotional, and physiological processes known to predict</w:t>
      </w:r>
      <w:r>
        <w:rPr>
          <w:rFonts w:cs="Times New Roman"/>
        </w:rPr>
        <w:t xml:space="preserve"> </w:t>
      </w:r>
      <w:r w:rsidRPr="001379BE">
        <w:rPr>
          <w:rFonts w:cs="Times New Roman"/>
        </w:rPr>
        <w:t xml:space="preserve">relapse of addictive </w:t>
      </w:r>
      <w:r>
        <w:rPr>
          <w:rFonts w:cs="Times New Roman"/>
        </w:rPr>
        <w:t xml:space="preserve">behaviour” (2013, p. 248). However an important caveat is that meditation </w:t>
      </w:r>
      <w:r w:rsidRPr="001379BE">
        <w:rPr>
          <w:rFonts w:cs="Times New Roman"/>
        </w:rPr>
        <w:t>between sessions, along</w:t>
      </w:r>
      <w:r>
        <w:rPr>
          <w:rFonts w:cs="Times New Roman"/>
        </w:rPr>
        <w:t xml:space="preserve"> </w:t>
      </w:r>
      <w:r w:rsidRPr="001379BE">
        <w:rPr>
          <w:rFonts w:cs="Times New Roman"/>
        </w:rPr>
        <w:t xml:space="preserve">with a strong therapeutic alliance between participants and the group </w:t>
      </w:r>
      <w:proofErr w:type="gramStart"/>
      <w:r w:rsidRPr="001379BE">
        <w:rPr>
          <w:rFonts w:cs="Times New Roman"/>
        </w:rPr>
        <w:t>instructors,</w:t>
      </w:r>
      <w:proofErr w:type="gramEnd"/>
      <w:r w:rsidRPr="001379BE">
        <w:rPr>
          <w:rFonts w:cs="Times New Roman"/>
        </w:rPr>
        <w:t xml:space="preserve"> are</w:t>
      </w:r>
      <w:r>
        <w:rPr>
          <w:rFonts w:cs="Times New Roman"/>
        </w:rPr>
        <w:t xml:space="preserve"> </w:t>
      </w:r>
      <w:r w:rsidRPr="001379BE">
        <w:rPr>
          <w:rFonts w:cs="Times New Roman"/>
        </w:rPr>
        <w:t>important predictors of initial increases in mindfulness after the 8-week MBRP program</w:t>
      </w:r>
      <w:r>
        <w:rPr>
          <w:rFonts w:cs="Times New Roman"/>
        </w:rPr>
        <w:t xml:space="preserve"> (</w:t>
      </w:r>
      <w:proofErr w:type="spellStart"/>
      <w:r>
        <w:rPr>
          <w:rFonts w:cs="Times New Roman"/>
        </w:rPr>
        <w:t>Khanna</w:t>
      </w:r>
      <w:proofErr w:type="spellEnd"/>
      <w:r>
        <w:rPr>
          <w:rFonts w:cs="Times New Roman"/>
        </w:rPr>
        <w:t xml:space="preserve"> &amp; </w:t>
      </w:r>
      <w:proofErr w:type="spellStart"/>
      <w:r>
        <w:rPr>
          <w:rFonts w:cs="Times New Roman"/>
        </w:rPr>
        <w:t>Greeson</w:t>
      </w:r>
      <w:proofErr w:type="spellEnd"/>
      <w:r>
        <w:rPr>
          <w:rFonts w:cs="Times New Roman"/>
        </w:rPr>
        <w:t>, 2013, p. 248).</w:t>
      </w:r>
    </w:p>
    <w:p w:rsidR="00934383" w:rsidRPr="001379BE" w:rsidRDefault="00934383" w:rsidP="00934383">
      <w:pPr>
        <w:autoSpaceDE w:val="0"/>
        <w:autoSpaceDN w:val="0"/>
        <w:adjustRightInd w:val="0"/>
        <w:spacing w:after="0" w:line="240" w:lineRule="auto"/>
        <w:rPr>
          <w:rFonts w:cs="Times New Roman"/>
        </w:rPr>
      </w:pPr>
    </w:p>
    <w:p w:rsidR="00934383" w:rsidRDefault="00934383" w:rsidP="00934383">
      <w:pPr>
        <w:autoSpaceDE w:val="0"/>
        <w:autoSpaceDN w:val="0"/>
        <w:adjustRightInd w:val="0"/>
        <w:spacing w:after="0" w:line="240" w:lineRule="auto"/>
        <w:rPr>
          <w:rFonts w:cs="Times New Roman"/>
        </w:rPr>
      </w:pPr>
      <w:r>
        <w:rPr>
          <w:rFonts w:cs="Times New Roman"/>
        </w:rPr>
        <w:t xml:space="preserve">The second mindfulness-based treatment model reviewed by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is the </w:t>
      </w:r>
      <w:r w:rsidRPr="001379BE">
        <w:rPr>
          <w:rFonts w:cs="Times New Roman"/>
        </w:rPr>
        <w:t>Mindfulness Oriented Recovery Enhancement (MORE)</w:t>
      </w:r>
      <w:r>
        <w:rPr>
          <w:rFonts w:cs="Times New Roman"/>
        </w:rPr>
        <w:t xml:space="preserve"> program, </w:t>
      </w:r>
      <w:r w:rsidRPr="001379BE">
        <w:rPr>
          <w:rFonts w:cs="Times New Roman"/>
        </w:rPr>
        <w:t>a 10-session, group-based,</w:t>
      </w:r>
      <w:r>
        <w:rPr>
          <w:rFonts w:cs="Times New Roman"/>
        </w:rPr>
        <w:t xml:space="preserve"> </w:t>
      </w:r>
      <w:proofErr w:type="spellStart"/>
      <w:r w:rsidRPr="001379BE">
        <w:rPr>
          <w:rFonts w:cs="Times New Roman"/>
        </w:rPr>
        <w:t>psychoeducational</w:t>
      </w:r>
      <w:proofErr w:type="spellEnd"/>
      <w:r w:rsidRPr="001379BE">
        <w:rPr>
          <w:rFonts w:cs="Times New Roman"/>
        </w:rPr>
        <w:t xml:space="preserve"> intervention designed by Garland</w:t>
      </w:r>
      <w:r>
        <w:rPr>
          <w:rFonts w:cs="Times New Roman"/>
        </w:rPr>
        <w:t xml:space="preserve"> (2010)</w:t>
      </w:r>
      <w:r w:rsidRPr="001379BE">
        <w:rPr>
          <w:rFonts w:cs="Times New Roman"/>
        </w:rPr>
        <w:t xml:space="preserve"> to disrupt cognitive, affective, and</w:t>
      </w:r>
      <w:r>
        <w:rPr>
          <w:rFonts w:cs="Times New Roman"/>
        </w:rPr>
        <w:t xml:space="preserve"> </w:t>
      </w:r>
      <w:r w:rsidRPr="001379BE">
        <w:rPr>
          <w:rFonts w:cs="Times New Roman"/>
        </w:rPr>
        <w:t>physiological mechanisms implicated in alcohol dependence</w:t>
      </w:r>
      <w:r>
        <w:rPr>
          <w:rFonts w:cs="Times New Roman"/>
        </w:rPr>
        <w:t xml:space="preserve"> (2013, p. 249)</w:t>
      </w:r>
      <w:r w:rsidRPr="001379BE">
        <w:rPr>
          <w:rFonts w:cs="Times New Roman"/>
        </w:rPr>
        <w:t>.</w:t>
      </w:r>
      <w:r>
        <w:rPr>
          <w:rFonts w:cs="Times New Roman"/>
        </w:rPr>
        <w:t xml:space="preserve">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explain that </w:t>
      </w:r>
      <w:r w:rsidRPr="001379BE">
        <w:rPr>
          <w:rFonts w:cs="Times New Roman"/>
        </w:rPr>
        <w:t>MORE is adapted from the Mindfulness-Based Cognitive Therapy (MBCT) for Depression</w:t>
      </w:r>
      <w:r>
        <w:rPr>
          <w:rFonts w:cs="Times New Roman"/>
        </w:rPr>
        <w:t xml:space="preserve"> </w:t>
      </w:r>
      <w:r w:rsidRPr="001379BE">
        <w:rPr>
          <w:rFonts w:cs="Times New Roman"/>
        </w:rPr>
        <w:t>treatment manual</w:t>
      </w:r>
      <w:r>
        <w:rPr>
          <w:rFonts w:cs="Times New Roman"/>
        </w:rPr>
        <w:t xml:space="preserve"> and has been</w:t>
      </w:r>
      <w:r w:rsidRPr="001379BE">
        <w:rPr>
          <w:rFonts w:cs="Times New Roman"/>
        </w:rPr>
        <w:t xml:space="preserve"> tailored for addiction</w:t>
      </w:r>
      <w:r>
        <w:rPr>
          <w:rFonts w:cs="Times New Roman"/>
        </w:rPr>
        <w:t xml:space="preserve">: </w:t>
      </w:r>
      <w:r w:rsidRPr="001379BE">
        <w:rPr>
          <w:rFonts w:cs="Times New Roman"/>
        </w:rPr>
        <w:t>MORE does not include yoga,</w:t>
      </w:r>
      <w:r>
        <w:rPr>
          <w:rFonts w:cs="Times New Roman"/>
        </w:rPr>
        <w:t xml:space="preserve"> but</w:t>
      </w:r>
      <w:r w:rsidRPr="001379BE">
        <w:rPr>
          <w:rFonts w:cs="Times New Roman"/>
        </w:rPr>
        <w:t xml:space="preserve"> it does</w:t>
      </w:r>
      <w:r>
        <w:rPr>
          <w:rFonts w:cs="Times New Roman"/>
        </w:rPr>
        <w:t xml:space="preserve"> </w:t>
      </w:r>
      <w:r w:rsidRPr="001379BE">
        <w:rPr>
          <w:rFonts w:cs="Times New Roman"/>
        </w:rPr>
        <w:t xml:space="preserve">include other mindfulness meditation practices </w:t>
      </w:r>
      <w:r>
        <w:rPr>
          <w:rFonts w:cs="Times New Roman"/>
        </w:rPr>
        <w:t>such as</w:t>
      </w:r>
      <w:r w:rsidRPr="001379BE">
        <w:rPr>
          <w:rFonts w:cs="Times New Roman"/>
        </w:rPr>
        <w:t xml:space="preserve"> mindful breathing, body scan, mindfulness of perceptions </w:t>
      </w:r>
      <w:r>
        <w:rPr>
          <w:rFonts w:cs="Times New Roman"/>
        </w:rPr>
        <w:t xml:space="preserve">and </w:t>
      </w:r>
      <w:r w:rsidRPr="001379BE">
        <w:rPr>
          <w:rFonts w:cs="Times New Roman"/>
        </w:rPr>
        <w:t>sensations, mindful walking, and compassion meditation (</w:t>
      </w:r>
      <w:r>
        <w:rPr>
          <w:rFonts w:cs="Times New Roman"/>
        </w:rPr>
        <w:t>2013, p. 249</w:t>
      </w:r>
      <w:r w:rsidRPr="001379BE">
        <w:rPr>
          <w:rFonts w:cs="Times New Roman"/>
        </w:rPr>
        <w:t xml:space="preserve">). </w:t>
      </w:r>
    </w:p>
    <w:p w:rsidR="00934383" w:rsidRDefault="00934383" w:rsidP="00934383">
      <w:pPr>
        <w:autoSpaceDE w:val="0"/>
        <w:autoSpaceDN w:val="0"/>
        <w:adjustRightInd w:val="0"/>
        <w:spacing w:after="0" w:line="240" w:lineRule="auto"/>
        <w:rPr>
          <w:rFonts w:cs="Times New Roman"/>
        </w:rPr>
      </w:pPr>
    </w:p>
    <w:p w:rsidR="00934383" w:rsidRDefault="00934383" w:rsidP="00934383">
      <w:pPr>
        <w:autoSpaceDE w:val="0"/>
        <w:autoSpaceDN w:val="0"/>
        <w:adjustRightInd w:val="0"/>
        <w:spacing w:after="0" w:line="240" w:lineRule="auto"/>
        <w:rPr>
          <w:rFonts w:cs="Times New Roman"/>
        </w:rPr>
      </w:pPr>
      <w:proofErr w:type="spellStart"/>
      <w:r>
        <w:rPr>
          <w:rFonts w:cs="Times New Roman"/>
        </w:rPr>
        <w:lastRenderedPageBreak/>
        <w:t>Khanna</w:t>
      </w:r>
      <w:proofErr w:type="spellEnd"/>
      <w:r>
        <w:rPr>
          <w:rFonts w:cs="Times New Roman"/>
        </w:rPr>
        <w:t xml:space="preserve"> and </w:t>
      </w:r>
      <w:proofErr w:type="spellStart"/>
      <w:r>
        <w:rPr>
          <w:rFonts w:cs="Times New Roman"/>
        </w:rPr>
        <w:t>Greeson</w:t>
      </w:r>
      <w:proofErr w:type="spellEnd"/>
      <w:r>
        <w:rPr>
          <w:rFonts w:cs="Times New Roman"/>
        </w:rPr>
        <w:t xml:space="preserve"> note that MORE also includes a focus on </w:t>
      </w:r>
      <w:r w:rsidRPr="001379BE">
        <w:rPr>
          <w:rFonts w:cs="Times New Roman"/>
        </w:rPr>
        <w:t>meditative approaches to coping with cravings (e.g., “urge surfing”)</w:t>
      </w:r>
      <w:r>
        <w:rPr>
          <w:rFonts w:cs="Times New Roman"/>
        </w:rPr>
        <w:t xml:space="preserve"> as well as</w:t>
      </w:r>
      <w:r w:rsidRPr="001379BE">
        <w:rPr>
          <w:rFonts w:cs="Times New Roman"/>
        </w:rPr>
        <w:t xml:space="preserve"> education </w:t>
      </w:r>
      <w:r>
        <w:rPr>
          <w:rFonts w:cs="Times New Roman"/>
        </w:rPr>
        <w:t xml:space="preserve">and </w:t>
      </w:r>
      <w:r w:rsidRPr="001379BE">
        <w:rPr>
          <w:rFonts w:cs="Times New Roman"/>
        </w:rPr>
        <w:t>training about how to identify and skillfully change, or mindfully let be, mental processes</w:t>
      </w:r>
      <w:r>
        <w:rPr>
          <w:rFonts w:cs="Times New Roman"/>
        </w:rPr>
        <w:t>, such as suppression or attachment, that are</w:t>
      </w:r>
      <w:r w:rsidRPr="001379BE">
        <w:rPr>
          <w:rFonts w:cs="Times New Roman"/>
        </w:rPr>
        <w:t xml:space="preserve"> part of alcohol dependence and other forms of addiction</w:t>
      </w:r>
      <w:r>
        <w:rPr>
          <w:rFonts w:cs="Times New Roman"/>
        </w:rPr>
        <w:t xml:space="preserve"> (2013, p 249)</w:t>
      </w:r>
      <w:r w:rsidRPr="001379BE">
        <w:rPr>
          <w:rFonts w:cs="Times New Roman"/>
        </w:rPr>
        <w:t>.</w:t>
      </w:r>
      <w:r>
        <w:rPr>
          <w:rFonts w:cs="Times New Roman"/>
        </w:rPr>
        <w:t xml:space="preserve">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note that unlike MBSR or MBRP, </w:t>
      </w:r>
      <w:r w:rsidRPr="001379BE">
        <w:rPr>
          <w:rFonts w:cs="Times New Roman"/>
        </w:rPr>
        <w:t>MORE explicitly</w:t>
      </w:r>
      <w:r>
        <w:rPr>
          <w:rFonts w:cs="Times New Roman"/>
        </w:rPr>
        <w:t xml:space="preserve"> </w:t>
      </w:r>
      <w:r w:rsidRPr="001379BE">
        <w:rPr>
          <w:rFonts w:cs="Times New Roman"/>
        </w:rPr>
        <w:t>address</w:t>
      </w:r>
      <w:r>
        <w:rPr>
          <w:rFonts w:cs="Times New Roman"/>
        </w:rPr>
        <w:t>es</w:t>
      </w:r>
      <w:r w:rsidRPr="001379BE">
        <w:rPr>
          <w:rFonts w:cs="Times New Roman"/>
        </w:rPr>
        <w:t xml:space="preserve"> spirituality </w:t>
      </w:r>
      <w:r>
        <w:rPr>
          <w:rFonts w:cs="Times New Roman"/>
        </w:rPr>
        <w:t>(2013)</w:t>
      </w:r>
      <w:r w:rsidR="00AE797D">
        <w:rPr>
          <w:rFonts w:cs="Times New Roman"/>
        </w:rPr>
        <w:t>.</w:t>
      </w:r>
    </w:p>
    <w:p w:rsidR="00934383" w:rsidRDefault="00934383" w:rsidP="00934383">
      <w:pPr>
        <w:autoSpaceDE w:val="0"/>
        <w:autoSpaceDN w:val="0"/>
        <w:adjustRightInd w:val="0"/>
        <w:spacing w:after="0" w:line="240" w:lineRule="auto"/>
        <w:rPr>
          <w:rFonts w:cs="Times New Roman"/>
        </w:rPr>
      </w:pPr>
    </w:p>
    <w:p w:rsidR="00934383" w:rsidRDefault="00934383" w:rsidP="00934383">
      <w:pPr>
        <w:autoSpaceDE w:val="0"/>
        <w:autoSpaceDN w:val="0"/>
        <w:adjustRightInd w:val="0"/>
        <w:spacing w:after="0" w:line="240" w:lineRule="auto"/>
        <w:rPr>
          <w:rFonts w:cs="Times New Roman"/>
        </w:rPr>
      </w:pPr>
      <w:r>
        <w:rPr>
          <w:rFonts w:cs="Times New Roman"/>
        </w:rPr>
        <w:t xml:space="preserve">Garland et al (2010, cited in </w:t>
      </w:r>
      <w:proofErr w:type="spellStart"/>
      <w:r>
        <w:rPr>
          <w:rFonts w:cs="Times New Roman"/>
        </w:rPr>
        <w:t>Khanna</w:t>
      </w:r>
      <w:proofErr w:type="spellEnd"/>
      <w:r>
        <w:rPr>
          <w:rFonts w:cs="Times New Roman"/>
        </w:rPr>
        <w:t xml:space="preserve"> &amp; </w:t>
      </w:r>
      <w:proofErr w:type="spellStart"/>
      <w:r>
        <w:rPr>
          <w:rFonts w:cs="Times New Roman"/>
        </w:rPr>
        <w:t>Greeson</w:t>
      </w:r>
      <w:proofErr w:type="spellEnd"/>
      <w:r>
        <w:rPr>
          <w:rFonts w:cs="Times New Roman"/>
        </w:rPr>
        <w:t>, 2013) conducted a</w:t>
      </w:r>
      <w:r w:rsidRPr="001379BE">
        <w:rPr>
          <w:rFonts w:cs="Times New Roman"/>
        </w:rPr>
        <w:t xml:space="preserve"> pilot </w:t>
      </w:r>
      <w:r>
        <w:rPr>
          <w:rFonts w:cs="Times New Roman"/>
        </w:rPr>
        <w:t>random clinical trial (RC</w:t>
      </w:r>
      <w:r w:rsidR="00AE797D">
        <w:rPr>
          <w:rFonts w:cs="Times New Roman"/>
        </w:rPr>
        <w:t>T</w:t>
      </w:r>
      <w:r>
        <w:rPr>
          <w:rFonts w:cs="Times New Roman"/>
        </w:rPr>
        <w:t>)</w:t>
      </w:r>
      <w:r w:rsidRPr="001379BE">
        <w:rPr>
          <w:rFonts w:cs="Times New Roman"/>
        </w:rPr>
        <w:t xml:space="preserve"> </w:t>
      </w:r>
      <w:r>
        <w:rPr>
          <w:rFonts w:cs="Times New Roman"/>
        </w:rPr>
        <w:t>of the MORE treatment model with</w:t>
      </w:r>
      <w:r w:rsidRPr="001379BE">
        <w:rPr>
          <w:rFonts w:cs="Times New Roman"/>
        </w:rPr>
        <w:t xml:space="preserve"> alcohol dependent adults </w:t>
      </w:r>
      <w:r>
        <w:rPr>
          <w:rFonts w:cs="Times New Roman"/>
        </w:rPr>
        <w:t>in</w:t>
      </w:r>
      <w:r w:rsidRPr="001379BE">
        <w:rPr>
          <w:rFonts w:cs="Times New Roman"/>
        </w:rPr>
        <w:t xml:space="preserve"> a residential therapeutic community</w:t>
      </w:r>
      <w:r>
        <w:rPr>
          <w:rFonts w:cs="Times New Roman"/>
        </w:rPr>
        <w:t xml:space="preserve">. According to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Garland et al found that compared to an evidence-based support group, the participants</w:t>
      </w:r>
      <w:r w:rsidRPr="001379BE">
        <w:rPr>
          <w:rFonts w:cs="Times New Roman"/>
        </w:rPr>
        <w:t xml:space="preserve"> who</w:t>
      </w:r>
      <w:r>
        <w:rPr>
          <w:rFonts w:cs="Times New Roman"/>
        </w:rPr>
        <w:t xml:space="preserve"> </w:t>
      </w:r>
      <w:r w:rsidRPr="001379BE">
        <w:rPr>
          <w:rFonts w:cs="Times New Roman"/>
        </w:rPr>
        <w:t>completed the MORE program produced a number of superior outcomes, including reduced stress and thought</w:t>
      </w:r>
      <w:r>
        <w:rPr>
          <w:rFonts w:cs="Times New Roman"/>
        </w:rPr>
        <w:t xml:space="preserve"> </w:t>
      </w:r>
      <w:r w:rsidRPr="001379BE">
        <w:rPr>
          <w:rFonts w:cs="Times New Roman"/>
        </w:rPr>
        <w:t>suppression, increased physiological recovery from alcohol cues indexed by heart rate</w:t>
      </w:r>
      <w:r>
        <w:rPr>
          <w:rFonts w:cs="Times New Roman"/>
        </w:rPr>
        <w:t xml:space="preserve"> </w:t>
      </w:r>
      <w:r w:rsidRPr="001379BE">
        <w:rPr>
          <w:rFonts w:cs="Times New Roman"/>
        </w:rPr>
        <w:t xml:space="preserve">variability during a laboratory task, and decreased alcohol </w:t>
      </w:r>
      <w:proofErr w:type="spellStart"/>
      <w:r w:rsidRPr="001379BE">
        <w:rPr>
          <w:rFonts w:cs="Times New Roman"/>
        </w:rPr>
        <w:t>attentional</w:t>
      </w:r>
      <w:proofErr w:type="spellEnd"/>
      <w:r w:rsidRPr="001379BE">
        <w:rPr>
          <w:rFonts w:cs="Times New Roman"/>
        </w:rPr>
        <w:t xml:space="preserve"> bias</w:t>
      </w:r>
      <w:r>
        <w:rPr>
          <w:rFonts w:cs="Times New Roman"/>
        </w:rPr>
        <w:t xml:space="preserve"> (</w:t>
      </w:r>
      <w:r w:rsidR="00FB04BF">
        <w:rPr>
          <w:rFonts w:cs="Times New Roman"/>
        </w:rPr>
        <w:t xml:space="preserve">2010, cited in </w:t>
      </w:r>
      <w:proofErr w:type="spellStart"/>
      <w:r w:rsidR="00FB04BF">
        <w:rPr>
          <w:rFonts w:cs="Times New Roman"/>
        </w:rPr>
        <w:t>Khanna</w:t>
      </w:r>
      <w:proofErr w:type="spellEnd"/>
      <w:r w:rsidR="00FB04BF">
        <w:rPr>
          <w:rFonts w:cs="Times New Roman"/>
        </w:rPr>
        <w:t xml:space="preserve"> &amp; </w:t>
      </w:r>
      <w:proofErr w:type="spellStart"/>
      <w:r w:rsidR="00FB04BF">
        <w:rPr>
          <w:rFonts w:cs="Times New Roman"/>
        </w:rPr>
        <w:t>Greeson</w:t>
      </w:r>
      <w:proofErr w:type="spellEnd"/>
      <w:r w:rsidR="00FB04BF">
        <w:rPr>
          <w:rFonts w:cs="Times New Roman"/>
        </w:rPr>
        <w:t xml:space="preserve">, </w:t>
      </w:r>
      <w:r>
        <w:rPr>
          <w:rFonts w:cs="Times New Roman"/>
        </w:rPr>
        <w:t>2013, p. 249)</w:t>
      </w:r>
      <w:r w:rsidRPr="001379BE">
        <w:rPr>
          <w:rFonts w:cs="Times New Roman"/>
        </w:rPr>
        <w:t xml:space="preserve">. </w:t>
      </w:r>
    </w:p>
    <w:p w:rsidR="00934383" w:rsidRDefault="00934383" w:rsidP="00934383">
      <w:pPr>
        <w:autoSpaceDE w:val="0"/>
        <w:autoSpaceDN w:val="0"/>
        <w:adjustRightInd w:val="0"/>
        <w:spacing w:after="0" w:line="240" w:lineRule="auto"/>
        <w:rPr>
          <w:rFonts w:cs="Times New Roman"/>
        </w:rPr>
      </w:pPr>
    </w:p>
    <w:p w:rsidR="00934383" w:rsidRPr="001379BE" w:rsidRDefault="00934383" w:rsidP="00934383">
      <w:pPr>
        <w:autoSpaceDE w:val="0"/>
        <w:autoSpaceDN w:val="0"/>
        <w:adjustRightInd w:val="0"/>
        <w:spacing w:after="0" w:line="240" w:lineRule="auto"/>
        <w:rPr>
          <w:rFonts w:cs="Times New Roman"/>
        </w:rPr>
      </w:pPr>
      <w:r>
        <w:rPr>
          <w:rFonts w:cs="Times New Roman"/>
        </w:rPr>
        <w:t xml:space="preserve">The third clinical research program discussed by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is a</w:t>
      </w:r>
      <w:r w:rsidRPr="001379BE">
        <w:rPr>
          <w:rFonts w:cs="Times New Roman"/>
        </w:rPr>
        <w:t xml:space="preserve"> study on autonomic changes during several distinct forms of</w:t>
      </w:r>
      <w:r>
        <w:rPr>
          <w:rFonts w:cs="Times New Roman"/>
        </w:rPr>
        <w:t xml:space="preserve"> </w:t>
      </w:r>
      <w:r w:rsidRPr="001379BE">
        <w:rPr>
          <w:rFonts w:cs="Times New Roman"/>
        </w:rPr>
        <w:t>ancient yoga meditation</w:t>
      </w:r>
      <w:r>
        <w:rPr>
          <w:rFonts w:cs="Times New Roman"/>
        </w:rPr>
        <w:t xml:space="preserve">.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report that “the researcher</w:t>
      </w:r>
      <w:r w:rsidRPr="001379BE">
        <w:rPr>
          <w:rFonts w:cs="Times New Roman"/>
        </w:rPr>
        <w:t xml:space="preserve"> found the greatest reduction of sympathetic nervous system</w:t>
      </w:r>
      <w:r>
        <w:rPr>
          <w:rFonts w:cs="Times New Roman"/>
        </w:rPr>
        <w:t xml:space="preserve"> </w:t>
      </w:r>
      <w:r w:rsidRPr="001379BE">
        <w:rPr>
          <w:rFonts w:cs="Times New Roman"/>
        </w:rPr>
        <w:t>(SNS) activity and the greatest activation of parasympathetic nervous system (PNS) activity</w:t>
      </w:r>
      <w:r>
        <w:rPr>
          <w:rFonts w:cs="Times New Roman"/>
        </w:rPr>
        <w:t xml:space="preserve"> </w:t>
      </w:r>
      <w:r w:rsidRPr="001379BE">
        <w:rPr>
          <w:rFonts w:cs="Times New Roman"/>
        </w:rPr>
        <w:t>occurred during the state of effortless meditation</w:t>
      </w:r>
      <w:r>
        <w:rPr>
          <w:rFonts w:cs="Times New Roman"/>
        </w:rPr>
        <w:t>”</w:t>
      </w:r>
      <w:r w:rsidRPr="001379BE">
        <w:rPr>
          <w:rFonts w:cs="Times New Roman"/>
        </w:rPr>
        <w:t xml:space="preserve"> (</w:t>
      </w:r>
      <w:r>
        <w:rPr>
          <w:rFonts w:cs="Times New Roman"/>
        </w:rPr>
        <w:t>2013, p. 249</w:t>
      </w:r>
      <w:r w:rsidRPr="001379BE">
        <w:rPr>
          <w:rFonts w:cs="Times New Roman"/>
        </w:rPr>
        <w:t xml:space="preserve">).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(2013) claim t</w:t>
      </w:r>
      <w:r w:rsidRPr="001379BE">
        <w:rPr>
          <w:rFonts w:cs="Times New Roman"/>
        </w:rPr>
        <w:t>his finding is relevant</w:t>
      </w:r>
      <w:r>
        <w:rPr>
          <w:rFonts w:cs="Times New Roman"/>
        </w:rPr>
        <w:t xml:space="preserve"> </w:t>
      </w:r>
      <w:r w:rsidRPr="001379BE">
        <w:rPr>
          <w:rFonts w:cs="Times New Roman"/>
        </w:rPr>
        <w:t>because most mindfulness-based interventions offered today</w:t>
      </w:r>
      <w:r>
        <w:rPr>
          <w:rFonts w:cs="Times New Roman"/>
        </w:rPr>
        <w:t xml:space="preserve"> </w:t>
      </w:r>
      <w:r w:rsidRPr="001379BE">
        <w:rPr>
          <w:rFonts w:cs="Times New Roman"/>
        </w:rPr>
        <w:t>emphasize cultivating receptive awareness</w:t>
      </w:r>
      <w:r>
        <w:rPr>
          <w:rFonts w:cs="Times New Roman"/>
        </w:rPr>
        <w:t xml:space="preserve"> and place </w:t>
      </w:r>
      <w:r w:rsidRPr="001379BE">
        <w:rPr>
          <w:rFonts w:cs="Times New Roman"/>
        </w:rPr>
        <w:t xml:space="preserve">less emphasis </w:t>
      </w:r>
      <w:r>
        <w:rPr>
          <w:rFonts w:cs="Times New Roman"/>
        </w:rPr>
        <w:t>on practicing</w:t>
      </w:r>
      <w:r w:rsidRPr="001379BE">
        <w:rPr>
          <w:rFonts w:cs="Times New Roman"/>
        </w:rPr>
        <w:t xml:space="preserve"> prolonged periods of deeply focused,</w:t>
      </w:r>
      <w:r>
        <w:rPr>
          <w:rFonts w:cs="Times New Roman"/>
        </w:rPr>
        <w:t xml:space="preserve"> </w:t>
      </w:r>
      <w:r w:rsidRPr="001379BE">
        <w:rPr>
          <w:rFonts w:cs="Times New Roman"/>
        </w:rPr>
        <w:t>single-pointed concentration.</w:t>
      </w:r>
    </w:p>
    <w:p w:rsidR="00934383" w:rsidRDefault="00934383" w:rsidP="000641A2">
      <w:pPr>
        <w:autoSpaceDE w:val="0"/>
        <w:autoSpaceDN w:val="0"/>
        <w:adjustRightInd w:val="0"/>
        <w:spacing w:after="0" w:line="240" w:lineRule="auto"/>
        <w:rPr>
          <w:rFonts w:cs="Times New Roman"/>
        </w:rPr>
      </w:pPr>
    </w:p>
    <w:p w:rsidR="00934383" w:rsidRDefault="00934383" w:rsidP="000641A2">
      <w:pPr>
        <w:autoSpaceDE w:val="0"/>
        <w:autoSpaceDN w:val="0"/>
        <w:adjustRightInd w:val="0"/>
        <w:spacing w:after="0" w:line="240" w:lineRule="auto"/>
        <w:rPr>
          <w:rFonts w:cs="Times New Roman"/>
        </w:rPr>
      </w:pPr>
      <w:r>
        <w:rPr>
          <w:rFonts w:cs="Times New Roman"/>
        </w:rPr>
        <w:t xml:space="preserve">It is unknown whether any of the studies described by </w:t>
      </w:r>
      <w:proofErr w:type="spellStart"/>
      <w:r>
        <w:rPr>
          <w:rFonts w:cs="Times New Roman"/>
        </w:rPr>
        <w:t>Khanna</w:t>
      </w:r>
      <w:proofErr w:type="spellEnd"/>
      <w:r>
        <w:rPr>
          <w:rFonts w:cs="Times New Roman"/>
        </w:rPr>
        <w:t xml:space="preserve"> and </w:t>
      </w:r>
      <w:proofErr w:type="spellStart"/>
      <w:r>
        <w:rPr>
          <w:rFonts w:cs="Times New Roman"/>
        </w:rPr>
        <w:t>Greeson</w:t>
      </w:r>
      <w:proofErr w:type="spellEnd"/>
      <w:r>
        <w:rPr>
          <w:rFonts w:cs="Times New Roman"/>
        </w:rPr>
        <w:t xml:space="preserve"> (2013) include adolescent substance users; however, the programs may still be applicable—and helpful—to justice-involved youth seeking treatment for substance use disorders, given that the following </w:t>
      </w:r>
      <w:r w:rsidR="00077170">
        <w:rPr>
          <w:rFonts w:cs="Times New Roman"/>
        </w:rPr>
        <w:t xml:space="preserve">reviews and </w:t>
      </w:r>
      <w:r>
        <w:rPr>
          <w:rFonts w:cs="Times New Roman"/>
        </w:rPr>
        <w:t>studies with adolescents seem promising.</w:t>
      </w:r>
    </w:p>
    <w:p w:rsidR="00934383" w:rsidRDefault="00934383" w:rsidP="000641A2">
      <w:pPr>
        <w:autoSpaceDE w:val="0"/>
        <w:autoSpaceDN w:val="0"/>
        <w:adjustRightInd w:val="0"/>
        <w:spacing w:after="0" w:line="240" w:lineRule="auto"/>
        <w:rPr>
          <w:rFonts w:cs="Times New Roman"/>
        </w:rPr>
      </w:pPr>
    </w:p>
    <w:p w:rsidR="00FB04BF" w:rsidRDefault="00077170" w:rsidP="000641A2">
      <w:pPr>
        <w:autoSpaceDE w:val="0"/>
        <w:autoSpaceDN w:val="0"/>
        <w:adjustRightInd w:val="0"/>
        <w:spacing w:after="0" w:line="240" w:lineRule="auto"/>
        <w:rPr>
          <w:rFonts w:cs="Times New Roman"/>
        </w:rPr>
      </w:pPr>
      <w:r>
        <w:rPr>
          <w:rFonts w:cs="Times New Roman"/>
        </w:rPr>
        <w:t xml:space="preserve">Cohen, </w:t>
      </w:r>
      <w:proofErr w:type="spellStart"/>
      <w:r>
        <w:rPr>
          <w:rFonts w:cs="Times New Roman"/>
        </w:rPr>
        <w:t>Wupperman</w:t>
      </w:r>
      <w:proofErr w:type="spellEnd"/>
      <w:r>
        <w:rPr>
          <w:rFonts w:cs="Times New Roman"/>
        </w:rPr>
        <w:t xml:space="preserve"> and Tau </w:t>
      </w:r>
      <w:r w:rsidR="00FB04BF">
        <w:rPr>
          <w:rFonts w:cs="Times New Roman"/>
        </w:rPr>
        <w:t>(</w:t>
      </w:r>
      <w:r>
        <w:rPr>
          <w:rFonts w:cs="Times New Roman"/>
        </w:rPr>
        <w:t xml:space="preserve">2013) </w:t>
      </w:r>
      <w:r w:rsidR="00433C2E">
        <w:rPr>
          <w:rFonts w:cs="Times New Roman"/>
        </w:rPr>
        <w:t>reviewed the available literature on using mindfulness training to reduce or prevent substance use relapses in both adults and adolescents. After providing a detailed description of mindfulness and considering potential mechanisms of how mindfulness works to target substance use disorders (</w:t>
      </w:r>
      <w:r w:rsidR="00CA0510">
        <w:rPr>
          <w:rFonts w:cs="Times New Roman"/>
        </w:rPr>
        <w:t xml:space="preserve">e.g., </w:t>
      </w:r>
      <w:r w:rsidR="00433C2E">
        <w:rPr>
          <w:rFonts w:cs="Times New Roman"/>
        </w:rPr>
        <w:t>attention to the present moment</w:t>
      </w:r>
      <w:r w:rsidR="00CA0510">
        <w:rPr>
          <w:rFonts w:cs="Times New Roman"/>
        </w:rPr>
        <w:t xml:space="preserve"> facilitates early awareness of negative emotions and urges, which in turn allows for the use of adaptive strategies before unpleasant feelings and thoughts become overwhelming), Cohen et al (2013) conclude that because mindfulness training facilitates the ability to experience and tolerate negative emotions without the need to react, such training could provide a protective factor in youth whose difficulty in tolerating negative mental states makes them susceptible to substance use as a means of dealing with negative feelings and thoughts. </w:t>
      </w:r>
    </w:p>
    <w:p w:rsidR="00FB04BF" w:rsidRDefault="00FB04BF" w:rsidP="000641A2">
      <w:pPr>
        <w:autoSpaceDE w:val="0"/>
        <w:autoSpaceDN w:val="0"/>
        <w:adjustRightInd w:val="0"/>
        <w:spacing w:after="0" w:line="240" w:lineRule="auto"/>
        <w:rPr>
          <w:rFonts w:cs="Times New Roman"/>
        </w:rPr>
      </w:pPr>
    </w:p>
    <w:p w:rsidR="00077170" w:rsidRDefault="00CA0510" w:rsidP="000641A2">
      <w:pPr>
        <w:autoSpaceDE w:val="0"/>
        <w:autoSpaceDN w:val="0"/>
        <w:adjustRightInd w:val="0"/>
        <w:spacing w:after="0" w:line="240" w:lineRule="auto"/>
        <w:rPr>
          <w:rFonts w:cs="Times New Roman"/>
        </w:rPr>
      </w:pPr>
      <w:proofErr w:type="spellStart"/>
      <w:r>
        <w:rPr>
          <w:rFonts w:cs="Times New Roman"/>
        </w:rPr>
        <w:t>Zoogman</w:t>
      </w:r>
      <w:proofErr w:type="spellEnd"/>
      <w:r>
        <w:rPr>
          <w:rFonts w:cs="Times New Roman"/>
        </w:rPr>
        <w:t xml:space="preserve">, Goldberg, Hoyt and Miller (2014) conducted a meta-analysis of the literature </w:t>
      </w:r>
      <w:r w:rsidR="00024A79">
        <w:rPr>
          <w:rFonts w:cs="Times New Roman"/>
        </w:rPr>
        <w:t>on mindfulness meditation with youth. The results of their analysis showed that while mindfulness interventions with youth in the general population were helpful and did not carry any iatrogenic harm, a significantly larger effect size was found in clinical samples</w:t>
      </w:r>
      <w:r w:rsidR="009171A0">
        <w:rPr>
          <w:rFonts w:cs="Times New Roman"/>
        </w:rPr>
        <w:t xml:space="preserve">, leading </w:t>
      </w:r>
      <w:proofErr w:type="spellStart"/>
      <w:r w:rsidR="009171A0">
        <w:rPr>
          <w:rFonts w:cs="Times New Roman"/>
        </w:rPr>
        <w:t>Zoogman</w:t>
      </w:r>
      <w:proofErr w:type="spellEnd"/>
      <w:r w:rsidR="009171A0">
        <w:rPr>
          <w:rFonts w:cs="Times New Roman"/>
        </w:rPr>
        <w:t xml:space="preserve"> et al (2014) to recommend that future studies on mindfulness interventions with youth should focus on clinical settings in order to establish the efficacy of mindfulness in targeting symptoms of psychopathology.</w:t>
      </w:r>
    </w:p>
    <w:p w:rsidR="00077170" w:rsidRDefault="00077170" w:rsidP="000641A2">
      <w:pPr>
        <w:autoSpaceDE w:val="0"/>
        <w:autoSpaceDN w:val="0"/>
        <w:adjustRightInd w:val="0"/>
        <w:spacing w:after="0" w:line="240" w:lineRule="auto"/>
        <w:rPr>
          <w:rFonts w:cs="Times New Roman"/>
        </w:rPr>
      </w:pPr>
    </w:p>
    <w:p w:rsidR="00E20A85" w:rsidRDefault="00DC27E1" w:rsidP="000641A2">
      <w:pPr>
        <w:autoSpaceDE w:val="0"/>
        <w:autoSpaceDN w:val="0"/>
        <w:adjustRightInd w:val="0"/>
        <w:spacing w:after="0" w:line="240" w:lineRule="auto"/>
        <w:rPr>
          <w:rFonts w:cs="Times New Roman"/>
        </w:rPr>
      </w:pPr>
      <w:proofErr w:type="spellStart"/>
      <w:r>
        <w:rPr>
          <w:rFonts w:cs="Times New Roman"/>
        </w:rPr>
        <w:t>Himelstein</w:t>
      </w:r>
      <w:proofErr w:type="spellEnd"/>
      <w:r>
        <w:rPr>
          <w:rFonts w:cs="Times New Roman"/>
        </w:rPr>
        <w:t>, Saul, Garcia-</w:t>
      </w:r>
      <w:proofErr w:type="spellStart"/>
      <w:r>
        <w:rPr>
          <w:rFonts w:cs="Times New Roman"/>
        </w:rPr>
        <w:t>Romeu</w:t>
      </w:r>
      <w:proofErr w:type="spellEnd"/>
      <w:r>
        <w:rPr>
          <w:rFonts w:cs="Times New Roman"/>
        </w:rPr>
        <w:t xml:space="preserve"> and </w:t>
      </w:r>
      <w:proofErr w:type="spellStart"/>
      <w:r>
        <w:rPr>
          <w:rFonts w:cs="Times New Roman"/>
        </w:rPr>
        <w:t>Pinedo</w:t>
      </w:r>
      <w:proofErr w:type="spellEnd"/>
      <w:r>
        <w:rPr>
          <w:rFonts w:cs="Times New Roman"/>
        </w:rPr>
        <w:t xml:space="preserve"> </w:t>
      </w:r>
      <w:r w:rsidR="00B156F9">
        <w:rPr>
          <w:rFonts w:cs="Times New Roman"/>
        </w:rPr>
        <w:t xml:space="preserve">(2014) </w:t>
      </w:r>
      <w:r>
        <w:rPr>
          <w:rFonts w:cs="Times New Roman"/>
        </w:rPr>
        <w:t>designed a study to investigate</w:t>
      </w:r>
      <w:r w:rsidR="00B156F9">
        <w:rPr>
          <w:rFonts w:cs="Times New Roman"/>
        </w:rPr>
        <w:t xml:space="preserve"> how to teach mindfulness to incarcerated youth who were substance users. </w:t>
      </w:r>
      <w:proofErr w:type="spellStart"/>
      <w:r w:rsidR="00B156F9">
        <w:rPr>
          <w:rFonts w:cs="Times New Roman"/>
        </w:rPr>
        <w:t>Himelstein</w:t>
      </w:r>
      <w:proofErr w:type="spellEnd"/>
      <w:r w:rsidR="00B156F9">
        <w:rPr>
          <w:rFonts w:cs="Times New Roman"/>
        </w:rPr>
        <w:t xml:space="preserve"> et al acknowledge that while there are a number of evidence-based interventions for young offenders that have been shown to reduce substance use and recidivism—e.g., Multidimensional Family Therapy and </w:t>
      </w:r>
      <w:proofErr w:type="spellStart"/>
      <w:r w:rsidR="00B156F9">
        <w:rPr>
          <w:rFonts w:cs="Times New Roman"/>
        </w:rPr>
        <w:t>Multisystemic</w:t>
      </w:r>
      <w:proofErr w:type="spellEnd"/>
      <w:r w:rsidR="00B156F9">
        <w:rPr>
          <w:rFonts w:cs="Times New Roman"/>
        </w:rPr>
        <w:t xml:space="preserve"> </w:t>
      </w:r>
      <w:r w:rsidR="00B156F9">
        <w:rPr>
          <w:rFonts w:cs="Times New Roman"/>
        </w:rPr>
        <w:lastRenderedPageBreak/>
        <w:t>Therapy—these treatment protocols require more resources (both financial and professional</w:t>
      </w:r>
      <w:r w:rsidR="00DA42AF">
        <w:rPr>
          <w:rFonts w:cs="Times New Roman"/>
        </w:rPr>
        <w:t xml:space="preserve">) than publicly funded youth detention centres and the youths’ parents can afford (2014, p. 560). Furthermore, because low-cost substance user interventions (such as Motivational Interviewing) have shown mixed efficacy, at best, with adolescents, there is a need for effective and fiscally sustainable treatment </w:t>
      </w:r>
      <w:r w:rsidR="00296E26">
        <w:rPr>
          <w:rFonts w:cs="Times New Roman"/>
        </w:rPr>
        <w:t>interventions for incarcerated youth who require substance abuse treatment (</w:t>
      </w:r>
      <w:proofErr w:type="spellStart"/>
      <w:r w:rsidR="00296E26">
        <w:rPr>
          <w:rFonts w:cs="Times New Roman"/>
        </w:rPr>
        <w:t>Himelstein</w:t>
      </w:r>
      <w:proofErr w:type="spellEnd"/>
      <w:r w:rsidR="00296E26">
        <w:rPr>
          <w:rFonts w:cs="Times New Roman"/>
        </w:rPr>
        <w:t xml:space="preserve"> et al, 2014, pp. 560-561). </w:t>
      </w:r>
      <w:proofErr w:type="spellStart"/>
      <w:r w:rsidR="00296E26">
        <w:rPr>
          <w:rFonts w:cs="Times New Roman"/>
        </w:rPr>
        <w:t>Himelstein</w:t>
      </w:r>
      <w:proofErr w:type="spellEnd"/>
      <w:r w:rsidR="00296E26">
        <w:rPr>
          <w:rFonts w:cs="Times New Roman"/>
        </w:rPr>
        <w:t xml:space="preserve"> et al (2014) used a grounded theory approach (i.e., using qualitative data to develop a theory) to collecting</w:t>
      </w:r>
      <w:r w:rsidR="005A7C61">
        <w:rPr>
          <w:rFonts w:cs="Times New Roman"/>
        </w:rPr>
        <w:t xml:space="preserve"> interview</w:t>
      </w:r>
      <w:r w:rsidR="00296E26">
        <w:rPr>
          <w:rFonts w:cs="Times New Roman"/>
        </w:rPr>
        <w:t xml:space="preserve"> data from 10 male youth sentenced to a juvenile detention camp and mandated by the court to undergo substance user treatment</w:t>
      </w:r>
      <w:r w:rsidR="005A7C61">
        <w:rPr>
          <w:rFonts w:cs="Times New Roman"/>
        </w:rPr>
        <w:t xml:space="preserve">. </w:t>
      </w:r>
      <w:proofErr w:type="spellStart"/>
      <w:r w:rsidR="005A7C61">
        <w:rPr>
          <w:rFonts w:cs="Times New Roman"/>
        </w:rPr>
        <w:t>Himelstein</w:t>
      </w:r>
      <w:proofErr w:type="spellEnd"/>
      <w:r w:rsidR="005A7C61">
        <w:rPr>
          <w:rFonts w:cs="Times New Roman"/>
        </w:rPr>
        <w:t xml:space="preserve"> et al (2014) note that the mindfulness-based treatment intervention was part of a larger study in which participants were randomly assigned to either a treatment condition where they received mindfulness training as part of individual therapy, or they were assigned to the control condition that consisted only of individual therapy. </w:t>
      </w:r>
    </w:p>
    <w:p w:rsidR="00E20A85" w:rsidRDefault="00E20A85" w:rsidP="000641A2">
      <w:pPr>
        <w:autoSpaceDE w:val="0"/>
        <w:autoSpaceDN w:val="0"/>
        <w:adjustRightInd w:val="0"/>
        <w:spacing w:after="0" w:line="240" w:lineRule="auto"/>
        <w:rPr>
          <w:rFonts w:cs="Times New Roman"/>
        </w:rPr>
      </w:pPr>
    </w:p>
    <w:p w:rsidR="00437B81" w:rsidRDefault="005A7C61" w:rsidP="000641A2">
      <w:pPr>
        <w:autoSpaceDE w:val="0"/>
        <w:autoSpaceDN w:val="0"/>
        <w:adjustRightInd w:val="0"/>
        <w:spacing w:after="0" w:line="240" w:lineRule="auto"/>
        <w:rPr>
          <w:rFonts w:cs="Times New Roman"/>
        </w:rPr>
      </w:pPr>
      <w:r>
        <w:rPr>
          <w:rFonts w:cs="Times New Roman"/>
        </w:rPr>
        <w:t>The participants in the mindfulness treatment condition were taught six mindfulness-based exercises once a week for 10–15 weeks (</w:t>
      </w:r>
      <w:proofErr w:type="spellStart"/>
      <w:r>
        <w:rPr>
          <w:rFonts w:cs="Times New Roman"/>
        </w:rPr>
        <w:t>Himelstein</w:t>
      </w:r>
      <w:proofErr w:type="spellEnd"/>
      <w:r>
        <w:rPr>
          <w:rFonts w:cs="Times New Roman"/>
        </w:rPr>
        <w:t xml:space="preserve"> et al, 2014, p. 562). </w:t>
      </w:r>
      <w:r w:rsidR="008B0DA7">
        <w:rPr>
          <w:rFonts w:cs="Times New Roman"/>
        </w:rPr>
        <w:t>Semi-structured interviews were administered at the end of the training and sought to elicit feedback on two central research questions related to determining the most effective methods for teaching mindfulness to incarcerated youth and (2) what is the impact of mindfulness meditation on the lives of incarcerated youth (</w:t>
      </w:r>
      <w:proofErr w:type="spellStart"/>
      <w:r w:rsidR="008B0DA7">
        <w:rPr>
          <w:rFonts w:cs="Times New Roman"/>
        </w:rPr>
        <w:t>Himelstein</w:t>
      </w:r>
      <w:proofErr w:type="spellEnd"/>
      <w:r w:rsidR="008B0DA7">
        <w:rPr>
          <w:rFonts w:cs="Times New Roman"/>
        </w:rPr>
        <w:t xml:space="preserve"> et al, 2014, p. 563). Feedback from the youth emphasized the importance of providing a clear explanation of what </w:t>
      </w:r>
      <w:r w:rsidR="00E20A85">
        <w:rPr>
          <w:rFonts w:cs="Times New Roman"/>
        </w:rPr>
        <w:t>mindfulness is (and is not) as erroneous preconceptions about mindfulness might deter some youth from taking the training; furthermore, youth offered feedback on the optimal length of time for a meditation (</w:t>
      </w:r>
      <w:proofErr w:type="spellStart"/>
      <w:r w:rsidR="00E20A85">
        <w:rPr>
          <w:rFonts w:cs="Times New Roman"/>
        </w:rPr>
        <w:t>Himelstein</w:t>
      </w:r>
      <w:proofErr w:type="spellEnd"/>
      <w:r w:rsidR="00E20A85">
        <w:rPr>
          <w:rFonts w:cs="Times New Roman"/>
        </w:rPr>
        <w:t xml:space="preserve"> et al 2014, p. 564). Participants were also asked about the impact of the mindfulness training on their lives. All of the youth reported enhanced psychological well-being, reflected in an increased ability to self-regulate and relax, take care of the self; six participants reported improved sleep quality as a result of the mindfulness meditation, several participants reported enhanced decision-making, one participant specifically indicated </w:t>
      </w:r>
      <w:r w:rsidR="00077170">
        <w:rPr>
          <w:rFonts w:cs="Times New Roman"/>
        </w:rPr>
        <w:t>mindfulness might help to reduce recidivism and another participant reported that use of one of the mindfulness techniques helped him to abstain from substance use (</w:t>
      </w:r>
      <w:proofErr w:type="spellStart"/>
      <w:r w:rsidR="00077170">
        <w:rPr>
          <w:rFonts w:cs="Times New Roman"/>
        </w:rPr>
        <w:t>Himelstein</w:t>
      </w:r>
      <w:proofErr w:type="spellEnd"/>
      <w:r w:rsidR="00077170">
        <w:rPr>
          <w:rFonts w:cs="Times New Roman"/>
        </w:rPr>
        <w:t xml:space="preserve"> et al, 2014). While this is a small study sample, the qualitative feedback suggests that mindfulness training as an adjunct to other substance use treatment interventions (e.g., individual or group therapy) for incarcerated young offenders offers hope as a promising practice that is cost effective and able to be delivered in a short space of time.</w:t>
      </w:r>
    </w:p>
    <w:p w:rsidR="00077170" w:rsidRDefault="00077170" w:rsidP="000641A2">
      <w:pPr>
        <w:autoSpaceDE w:val="0"/>
        <w:autoSpaceDN w:val="0"/>
        <w:adjustRightInd w:val="0"/>
        <w:spacing w:after="0" w:line="240" w:lineRule="auto"/>
        <w:rPr>
          <w:rFonts w:cs="Times New Roman"/>
        </w:rPr>
      </w:pPr>
    </w:p>
    <w:p w:rsidR="000641A2" w:rsidRDefault="005A7C61" w:rsidP="000641A2">
      <w:pPr>
        <w:autoSpaceDE w:val="0"/>
        <w:autoSpaceDN w:val="0"/>
        <w:adjustRightInd w:val="0"/>
        <w:spacing w:after="0" w:line="240" w:lineRule="auto"/>
        <w:rPr>
          <w:rFonts w:cs="Times New Roman"/>
        </w:rPr>
      </w:pPr>
      <w:r>
        <w:rPr>
          <w:rFonts w:cs="Times New Roman"/>
        </w:rPr>
        <w:t xml:space="preserve">Britton, </w:t>
      </w:r>
      <w:proofErr w:type="spellStart"/>
      <w:r>
        <w:rPr>
          <w:rFonts w:cs="Times New Roman"/>
        </w:rPr>
        <w:t>Bootzin</w:t>
      </w:r>
      <w:proofErr w:type="spellEnd"/>
      <w:r>
        <w:rPr>
          <w:rFonts w:cs="Times New Roman"/>
        </w:rPr>
        <w:t xml:space="preserve">, Cousins, </w:t>
      </w:r>
      <w:proofErr w:type="spellStart"/>
      <w:r w:rsidR="00BF677D">
        <w:rPr>
          <w:rFonts w:cs="Times New Roman"/>
        </w:rPr>
        <w:t>Hasler</w:t>
      </w:r>
      <w:proofErr w:type="spellEnd"/>
      <w:r w:rsidR="00BF677D">
        <w:rPr>
          <w:rFonts w:cs="Times New Roman"/>
        </w:rPr>
        <w:t xml:space="preserve">, Peck and Shapiro (2010) conducted a study specifically geared to supporting adolescents who were experiencing sleep difficulties following being treated for substance abuse. Britton et al explain that </w:t>
      </w:r>
      <w:r w:rsidR="00BB2C81">
        <w:rPr>
          <w:rFonts w:cs="Times New Roman"/>
        </w:rPr>
        <w:t>“p</w:t>
      </w:r>
      <w:r w:rsidR="000641A2" w:rsidRPr="00CF14D4">
        <w:rPr>
          <w:rFonts w:cs="Times New Roman"/>
        </w:rPr>
        <w:t>oor sleep is common in substance use disorders (SUDs) and is a risk factor for relapse</w:t>
      </w:r>
      <w:r w:rsidR="00BB2C81">
        <w:rPr>
          <w:rFonts w:cs="Times New Roman"/>
        </w:rPr>
        <w:t>” (2010, p 86)</w:t>
      </w:r>
      <w:r w:rsidR="000641A2" w:rsidRPr="00CF14D4">
        <w:rPr>
          <w:rFonts w:cs="Times New Roman"/>
        </w:rPr>
        <w:t>.</w:t>
      </w:r>
      <w:r w:rsidR="00CF14D4">
        <w:rPr>
          <w:rFonts w:cs="Times New Roman"/>
        </w:rPr>
        <w:t xml:space="preserve"> </w:t>
      </w:r>
      <w:r w:rsidR="00BB2C81">
        <w:rPr>
          <w:rFonts w:cs="Times New Roman"/>
        </w:rPr>
        <w:t xml:space="preserve">The researchers designed a </w:t>
      </w:r>
      <w:r w:rsidR="000641A2" w:rsidRPr="00CF14D4">
        <w:rPr>
          <w:rFonts w:cs="Times New Roman"/>
        </w:rPr>
        <w:t>multi</w:t>
      </w:r>
      <w:r w:rsidR="00BB2C81">
        <w:rPr>
          <w:rFonts w:cs="Times New Roman"/>
        </w:rPr>
        <w:t>-</w:t>
      </w:r>
      <w:r w:rsidR="000641A2" w:rsidRPr="00CF14D4">
        <w:rPr>
          <w:rFonts w:cs="Times New Roman"/>
        </w:rPr>
        <w:t>component, mindfulness-based sleep intervention that included</w:t>
      </w:r>
      <w:r w:rsidR="00370726">
        <w:rPr>
          <w:rFonts w:cs="Times New Roman"/>
        </w:rPr>
        <w:t xml:space="preserve"> a</w:t>
      </w:r>
      <w:r w:rsidR="00CF14D4">
        <w:rPr>
          <w:rFonts w:cs="Times New Roman"/>
        </w:rPr>
        <w:t xml:space="preserve"> </w:t>
      </w:r>
      <w:r w:rsidR="000641A2" w:rsidRPr="00CF14D4">
        <w:rPr>
          <w:rFonts w:cs="Times New Roman"/>
        </w:rPr>
        <w:t>mindfulness meditation (MM) for adolescent outpatients with SUDs (n = 55)</w:t>
      </w:r>
      <w:r w:rsidR="00370726">
        <w:rPr>
          <w:rFonts w:cs="Times New Roman"/>
        </w:rPr>
        <w:t>. T</w:t>
      </w:r>
      <w:r w:rsidR="000641A2" w:rsidRPr="00CF14D4">
        <w:rPr>
          <w:rFonts w:cs="Times New Roman"/>
        </w:rPr>
        <w:t>h</w:t>
      </w:r>
      <w:r w:rsidR="00370726">
        <w:rPr>
          <w:rFonts w:cs="Times New Roman"/>
        </w:rPr>
        <w:t>e</w:t>
      </w:r>
      <w:r w:rsidR="000641A2" w:rsidRPr="00CF14D4">
        <w:rPr>
          <w:rFonts w:cs="Times New Roman"/>
        </w:rPr>
        <w:t xml:space="preserve"> analysis assessed</w:t>
      </w:r>
      <w:r w:rsidR="00CF14D4">
        <w:rPr>
          <w:rFonts w:cs="Times New Roman"/>
        </w:rPr>
        <w:t xml:space="preserve"> </w:t>
      </w:r>
      <w:r w:rsidR="000641A2" w:rsidRPr="00CF14D4">
        <w:rPr>
          <w:rFonts w:cs="Times New Roman"/>
        </w:rPr>
        <w:t>the contributions of MM practice intensity to gains in sleep quality and self-efficacy related to SUDs.</w:t>
      </w:r>
      <w:r w:rsidR="00CF14D4">
        <w:rPr>
          <w:rFonts w:cs="Times New Roman"/>
        </w:rPr>
        <w:t xml:space="preserve"> </w:t>
      </w:r>
      <w:r w:rsidR="00370726">
        <w:rPr>
          <w:rFonts w:cs="Times New Roman"/>
        </w:rPr>
        <w:t>Britton et al (2010) report that e</w:t>
      </w:r>
      <w:r w:rsidR="000641A2" w:rsidRPr="00CF14D4">
        <w:rPr>
          <w:rFonts w:cs="Times New Roman"/>
        </w:rPr>
        <w:t>ighteen adolescents completed a 6-session study intervention and questionnaires on psychological</w:t>
      </w:r>
      <w:r w:rsidR="00CF14D4">
        <w:rPr>
          <w:rFonts w:cs="Times New Roman"/>
        </w:rPr>
        <w:t xml:space="preserve"> </w:t>
      </w:r>
      <w:r w:rsidR="000641A2" w:rsidRPr="00CF14D4">
        <w:rPr>
          <w:rFonts w:cs="Times New Roman"/>
        </w:rPr>
        <w:t>distress, sleep quality, mindfulness practice, and substance use at baseline, 8, 20, and 60 weeks post</w:t>
      </w:r>
      <w:r w:rsidR="00370726">
        <w:rPr>
          <w:rFonts w:cs="Times New Roman"/>
        </w:rPr>
        <w:t>-</w:t>
      </w:r>
      <w:r w:rsidR="000641A2" w:rsidRPr="00CF14D4">
        <w:rPr>
          <w:rFonts w:cs="Times New Roman"/>
        </w:rPr>
        <w:t>entry.</w:t>
      </w:r>
      <w:r w:rsidR="00370726">
        <w:rPr>
          <w:rFonts w:cs="Times New Roman"/>
        </w:rPr>
        <w:t xml:space="preserve"> </w:t>
      </w:r>
      <w:r w:rsidR="00FB250C">
        <w:rPr>
          <w:rFonts w:cs="Times New Roman"/>
        </w:rPr>
        <w:t>P</w:t>
      </w:r>
      <w:r w:rsidR="000641A2" w:rsidRPr="00CF14D4">
        <w:rPr>
          <w:rFonts w:cs="Times New Roman"/>
        </w:rPr>
        <w:t>rogram participation was associated with improvements in sleep</w:t>
      </w:r>
      <w:r w:rsidR="00FB250C">
        <w:rPr>
          <w:rFonts w:cs="Times New Roman"/>
        </w:rPr>
        <w:t>,</w:t>
      </w:r>
      <w:r w:rsidR="000641A2" w:rsidRPr="00CF14D4">
        <w:rPr>
          <w:rFonts w:cs="Times New Roman"/>
        </w:rPr>
        <w:t xml:space="preserve"> emotional distress, </w:t>
      </w:r>
      <w:r w:rsidR="00FB250C">
        <w:rPr>
          <w:rFonts w:cs="Times New Roman"/>
        </w:rPr>
        <w:t>and</w:t>
      </w:r>
      <w:r w:rsidR="00CF14D4">
        <w:rPr>
          <w:rFonts w:cs="Times New Roman"/>
        </w:rPr>
        <w:t xml:space="preserve"> </w:t>
      </w:r>
      <w:r w:rsidR="000641A2" w:rsidRPr="00CF14D4">
        <w:rPr>
          <w:rFonts w:cs="Times New Roman"/>
        </w:rPr>
        <w:t>reduced substance use. MM practice frequency correlated with increased sleep duration and improvement</w:t>
      </w:r>
      <w:r w:rsidR="00CF14D4">
        <w:rPr>
          <w:rFonts w:cs="Times New Roman"/>
        </w:rPr>
        <w:t xml:space="preserve"> </w:t>
      </w:r>
      <w:r w:rsidR="000641A2" w:rsidRPr="00CF14D4">
        <w:rPr>
          <w:rFonts w:cs="Times New Roman"/>
        </w:rPr>
        <w:t>in self-efficacy about substance use. Increased sleep duration</w:t>
      </w:r>
      <w:r w:rsidR="00370726">
        <w:rPr>
          <w:rFonts w:cs="Times New Roman"/>
        </w:rPr>
        <w:t xml:space="preserve"> </w:t>
      </w:r>
      <w:r w:rsidR="000641A2" w:rsidRPr="00CF14D4">
        <w:rPr>
          <w:rFonts w:cs="Times New Roman"/>
        </w:rPr>
        <w:t>was associated with improvements in</w:t>
      </w:r>
      <w:r w:rsidR="00CF14D4">
        <w:rPr>
          <w:rFonts w:cs="Times New Roman"/>
        </w:rPr>
        <w:t xml:space="preserve"> </w:t>
      </w:r>
      <w:r w:rsidR="000641A2" w:rsidRPr="00CF14D4">
        <w:rPr>
          <w:rFonts w:cs="Times New Roman"/>
        </w:rPr>
        <w:t xml:space="preserve">psychological distress, relapse resistance, and substance use–related problems. </w:t>
      </w:r>
      <w:r w:rsidR="00370726">
        <w:rPr>
          <w:rFonts w:cs="Times New Roman"/>
        </w:rPr>
        <w:t xml:space="preserve"> Britton et al contend that t</w:t>
      </w:r>
      <w:r w:rsidR="000641A2" w:rsidRPr="00CF14D4">
        <w:rPr>
          <w:rFonts w:cs="Times New Roman"/>
        </w:rPr>
        <w:t>hese findings suggest</w:t>
      </w:r>
      <w:r w:rsidR="00CF14D4">
        <w:rPr>
          <w:rFonts w:cs="Times New Roman"/>
        </w:rPr>
        <w:t xml:space="preserve"> </w:t>
      </w:r>
      <w:r w:rsidR="000641A2" w:rsidRPr="00CF14D4">
        <w:rPr>
          <w:rFonts w:cs="Times New Roman"/>
        </w:rPr>
        <w:t>sleep is an important therapeutic target in substance abusing adolescents</w:t>
      </w:r>
      <w:r w:rsidR="00370726">
        <w:rPr>
          <w:rFonts w:cs="Times New Roman"/>
        </w:rPr>
        <w:t>,</w:t>
      </w:r>
      <w:r w:rsidR="000641A2" w:rsidRPr="00CF14D4">
        <w:rPr>
          <w:rFonts w:cs="Times New Roman"/>
        </w:rPr>
        <w:t xml:space="preserve"> and that MM may be a</w:t>
      </w:r>
      <w:r w:rsidR="009D57B1">
        <w:rPr>
          <w:rFonts w:cs="Times New Roman"/>
        </w:rPr>
        <w:t xml:space="preserve"> </w:t>
      </w:r>
      <w:r w:rsidR="000641A2" w:rsidRPr="00CF14D4">
        <w:rPr>
          <w:rFonts w:cs="Times New Roman"/>
        </w:rPr>
        <w:t>useful component to promote improved sleep.</w:t>
      </w:r>
      <w:r w:rsidR="00CF14D4">
        <w:rPr>
          <w:rFonts w:cs="Times New Roman"/>
        </w:rPr>
        <w:t xml:space="preserve"> (</w:t>
      </w:r>
      <w:r w:rsidR="00FB04BF">
        <w:rPr>
          <w:rFonts w:cs="Times New Roman"/>
        </w:rPr>
        <w:t xml:space="preserve">2010, </w:t>
      </w:r>
      <w:r w:rsidR="00CF14D4">
        <w:rPr>
          <w:rFonts w:cs="Times New Roman"/>
        </w:rPr>
        <w:t>p. 86)</w:t>
      </w:r>
    </w:p>
    <w:p w:rsidR="00CF14D4" w:rsidRDefault="00CF14D4" w:rsidP="000641A2">
      <w:pPr>
        <w:autoSpaceDE w:val="0"/>
        <w:autoSpaceDN w:val="0"/>
        <w:adjustRightInd w:val="0"/>
        <w:spacing w:after="0" w:line="240" w:lineRule="auto"/>
        <w:rPr>
          <w:rFonts w:cs="Times New Roman"/>
        </w:rPr>
      </w:pPr>
    </w:p>
    <w:p w:rsidR="00060433" w:rsidRPr="001379BE" w:rsidRDefault="00060433" w:rsidP="001379BE">
      <w:pPr>
        <w:autoSpaceDE w:val="0"/>
        <w:autoSpaceDN w:val="0"/>
        <w:adjustRightInd w:val="0"/>
        <w:spacing w:after="0" w:line="240" w:lineRule="auto"/>
        <w:rPr>
          <w:rFonts w:cs="Times New Roman"/>
        </w:rPr>
      </w:pPr>
    </w:p>
    <w:p w:rsidR="003419D5" w:rsidRPr="00832CA0" w:rsidRDefault="003419D5" w:rsidP="004B7DD2">
      <w:pPr>
        <w:autoSpaceDE w:val="0"/>
        <w:autoSpaceDN w:val="0"/>
        <w:adjustRightInd w:val="0"/>
        <w:spacing w:after="0" w:line="240" w:lineRule="auto"/>
        <w:rPr>
          <w:rFonts w:cs="Times New Roman"/>
          <w:b/>
        </w:rPr>
      </w:pPr>
      <w:r w:rsidRPr="00832CA0">
        <w:rPr>
          <w:rFonts w:cs="Times New Roman"/>
          <w:b/>
        </w:rPr>
        <w:t>The need for culturally relevant/gender specific treatment programs for justice-involved youth</w:t>
      </w:r>
    </w:p>
    <w:p w:rsidR="003C78D8" w:rsidRDefault="00FA228D" w:rsidP="003C78D8">
      <w:pPr>
        <w:autoSpaceDE w:val="0"/>
        <w:autoSpaceDN w:val="0"/>
        <w:adjustRightInd w:val="0"/>
        <w:spacing w:after="0" w:line="240" w:lineRule="auto"/>
        <w:rPr>
          <w:rFonts w:cs="Times New Roman"/>
        </w:rPr>
      </w:pPr>
      <w:r>
        <w:rPr>
          <w:rFonts w:cs="Times New Roman"/>
        </w:rPr>
        <w:t xml:space="preserve">It is well established in the literature that </w:t>
      </w:r>
      <w:r w:rsidR="00C94A60">
        <w:rPr>
          <w:rFonts w:cs="Times New Roman"/>
        </w:rPr>
        <w:t>s</w:t>
      </w:r>
      <w:r>
        <w:rPr>
          <w:rFonts w:cs="Times New Roman"/>
        </w:rPr>
        <w:t>ubstance use</w:t>
      </w:r>
      <w:r w:rsidR="00C94A60">
        <w:rPr>
          <w:rFonts w:cs="Times New Roman"/>
        </w:rPr>
        <w:t xml:space="preserve"> is a major risk factor for youth offending and youth recidivism</w:t>
      </w:r>
      <w:r w:rsidR="00DE2808">
        <w:rPr>
          <w:rFonts w:cs="Times New Roman"/>
        </w:rPr>
        <w:t xml:space="preserve"> (Erickson &amp; Butters, 2005; Dowden, 2004; National Crime Prevention Centre, 2012</w:t>
      </w:r>
      <w:r w:rsidR="0005466D">
        <w:rPr>
          <w:rFonts w:cs="Times New Roman"/>
        </w:rPr>
        <w:t>)</w:t>
      </w:r>
      <w:r w:rsidR="00C94A60">
        <w:rPr>
          <w:rFonts w:cs="Times New Roman"/>
        </w:rPr>
        <w:t>—even more so for youth who initiate substance use at a young age</w:t>
      </w:r>
      <w:r w:rsidR="00D27605">
        <w:rPr>
          <w:rFonts w:cs="Times New Roman"/>
        </w:rPr>
        <w:t xml:space="preserve"> (White &amp; Godley, 2003), have histories of chronic trauma exposure (</w:t>
      </w:r>
      <w:proofErr w:type="spellStart"/>
      <w:r w:rsidR="00D27605">
        <w:rPr>
          <w:rFonts w:cs="Times New Roman"/>
        </w:rPr>
        <w:t>Kerig</w:t>
      </w:r>
      <w:proofErr w:type="spellEnd"/>
      <w:r w:rsidR="00D27605">
        <w:rPr>
          <w:rFonts w:cs="Times New Roman"/>
        </w:rPr>
        <w:t xml:space="preserve"> &amp; Ford, 2014; Layne et al, 2014) and for</w:t>
      </w:r>
      <w:r w:rsidR="00DE2808">
        <w:rPr>
          <w:rFonts w:cs="Times New Roman"/>
        </w:rPr>
        <w:t xml:space="preserve"> Aboriginal youth </w:t>
      </w:r>
      <w:r w:rsidR="00D27605">
        <w:rPr>
          <w:rFonts w:cs="Times New Roman"/>
        </w:rPr>
        <w:t>(</w:t>
      </w:r>
      <w:proofErr w:type="spellStart"/>
      <w:r w:rsidR="00C17F4D">
        <w:rPr>
          <w:rFonts w:cs="Times New Roman"/>
        </w:rPr>
        <w:t>Sittner</w:t>
      </w:r>
      <w:proofErr w:type="spellEnd"/>
      <w:r w:rsidR="00C17F4D">
        <w:rPr>
          <w:rFonts w:cs="Times New Roman"/>
        </w:rPr>
        <w:t>, 2016). Given that untreated substance use and mental health disorders (especially when they are concurrent with complex trauma) tend to get worse</w:t>
      </w:r>
      <w:r w:rsidR="0005466D">
        <w:rPr>
          <w:rFonts w:cs="Times New Roman"/>
        </w:rPr>
        <w:t xml:space="preserve"> if not treated</w:t>
      </w:r>
      <w:r w:rsidR="00C17F4D">
        <w:rPr>
          <w:rFonts w:cs="Times New Roman"/>
        </w:rPr>
        <w:t xml:space="preserve"> (Ford &amp; </w:t>
      </w:r>
      <w:proofErr w:type="spellStart"/>
      <w:r w:rsidR="00C17F4D">
        <w:rPr>
          <w:rFonts w:cs="Times New Roman"/>
        </w:rPr>
        <w:t>Blaustein</w:t>
      </w:r>
      <w:proofErr w:type="spellEnd"/>
      <w:r w:rsidR="00C17F4D">
        <w:rPr>
          <w:rFonts w:cs="Times New Roman"/>
        </w:rPr>
        <w:t>, 2013)</w:t>
      </w:r>
      <w:r w:rsidR="00F66677">
        <w:rPr>
          <w:rFonts w:cs="Times New Roman"/>
        </w:rPr>
        <w:t>, getting youth into an appropriate and effective treatment program is crucial</w:t>
      </w:r>
      <w:r w:rsidR="0031514E">
        <w:rPr>
          <w:rFonts w:cs="Times New Roman"/>
        </w:rPr>
        <w:t xml:space="preserve">. </w:t>
      </w:r>
    </w:p>
    <w:p w:rsidR="003C78D8" w:rsidRPr="00832CA0" w:rsidRDefault="003C78D8" w:rsidP="003C78D8">
      <w:pPr>
        <w:autoSpaceDE w:val="0"/>
        <w:autoSpaceDN w:val="0"/>
        <w:adjustRightInd w:val="0"/>
        <w:spacing w:after="0" w:line="240" w:lineRule="auto"/>
        <w:rPr>
          <w:rFonts w:cs="Times New Roman"/>
          <w:b/>
          <w:i/>
        </w:rPr>
      </w:pPr>
    </w:p>
    <w:p w:rsidR="00832CA0" w:rsidRPr="00832CA0" w:rsidRDefault="00832CA0" w:rsidP="003C78D8">
      <w:pPr>
        <w:autoSpaceDE w:val="0"/>
        <w:autoSpaceDN w:val="0"/>
        <w:adjustRightInd w:val="0"/>
        <w:spacing w:after="0" w:line="240" w:lineRule="auto"/>
        <w:rPr>
          <w:rFonts w:cs="Times New Roman"/>
          <w:b/>
          <w:i/>
        </w:rPr>
      </w:pPr>
      <w:r w:rsidRPr="00832CA0">
        <w:rPr>
          <w:rFonts w:cs="Times New Roman"/>
          <w:b/>
          <w:i/>
        </w:rPr>
        <w:t>Gender responsive treatment programs</w:t>
      </w:r>
      <w:r w:rsidR="00CA456C">
        <w:rPr>
          <w:rFonts w:cs="Times New Roman"/>
          <w:b/>
          <w:i/>
        </w:rPr>
        <w:t xml:space="preserve"> for justice-involved female youth</w:t>
      </w:r>
    </w:p>
    <w:p w:rsidR="003C78D8" w:rsidRDefault="00DF4318" w:rsidP="003C78D8">
      <w:pPr>
        <w:autoSpaceDE w:val="0"/>
        <w:autoSpaceDN w:val="0"/>
        <w:adjustRightInd w:val="0"/>
        <w:spacing w:after="0" w:line="240" w:lineRule="auto"/>
        <w:rPr>
          <w:rFonts w:cs="Times New Roman"/>
        </w:rPr>
      </w:pPr>
      <w:r>
        <w:rPr>
          <w:rFonts w:cs="Times New Roman"/>
        </w:rPr>
        <w:t>Le (2012) notes that despite an increasing number of female youth who are being charged with serious offences</w:t>
      </w:r>
      <w:r w:rsidR="007D7967">
        <w:rPr>
          <w:rFonts w:cs="Times New Roman"/>
        </w:rPr>
        <w:t xml:space="preserve"> and being sentenced to custody, </w:t>
      </w:r>
      <w:r w:rsidR="00F733D6">
        <w:rPr>
          <w:rFonts w:cs="Times New Roman"/>
        </w:rPr>
        <w:t>th</w:t>
      </w:r>
      <w:r>
        <w:rPr>
          <w:rFonts w:cs="Times New Roman"/>
        </w:rPr>
        <w:t>ere is a paucity of gender-responsive programs available for these adolescent female offenders in the Canadian youth justice system</w:t>
      </w:r>
      <w:r w:rsidR="007D7967">
        <w:rPr>
          <w:rFonts w:cs="Times New Roman"/>
        </w:rPr>
        <w:t xml:space="preserve">; most of the youth justice services are designed and delivered mainly for boys (Le, 2012; </w:t>
      </w:r>
      <w:proofErr w:type="spellStart"/>
      <w:r w:rsidR="007D7967">
        <w:rPr>
          <w:rFonts w:cs="Times New Roman"/>
        </w:rPr>
        <w:t>Totten</w:t>
      </w:r>
      <w:proofErr w:type="spellEnd"/>
      <w:r w:rsidR="007D7967">
        <w:rPr>
          <w:rFonts w:cs="Times New Roman"/>
        </w:rPr>
        <w:t>, 2007).</w:t>
      </w:r>
      <w:r>
        <w:rPr>
          <w:rFonts w:cs="Times New Roman"/>
        </w:rPr>
        <w:t xml:space="preserve"> </w:t>
      </w:r>
      <w:r w:rsidR="00095193">
        <w:rPr>
          <w:rFonts w:cs="Times New Roman"/>
        </w:rPr>
        <w:t xml:space="preserve">While there are some similarities between male and female young offenders—e.g., </w:t>
      </w:r>
      <w:r w:rsidR="00F733D6">
        <w:rPr>
          <w:rFonts w:cs="Times New Roman"/>
        </w:rPr>
        <w:t>a strong link between substance misuse and criminal behaviour</w:t>
      </w:r>
      <w:r w:rsidR="00095193">
        <w:rPr>
          <w:rFonts w:cs="Times New Roman"/>
        </w:rPr>
        <w:t xml:space="preserve"> and a high rate of substance use disorders—</w:t>
      </w:r>
      <w:r w:rsidR="007D7967">
        <w:rPr>
          <w:rFonts w:cs="Times New Roman"/>
        </w:rPr>
        <w:t>adolescent females’ developmental pathways into the youth justice system are distinctly different from those of adolescent males (</w:t>
      </w:r>
      <w:proofErr w:type="spellStart"/>
      <w:r w:rsidR="007D7967">
        <w:rPr>
          <w:rFonts w:cs="Times New Roman"/>
        </w:rPr>
        <w:t>Totten</w:t>
      </w:r>
      <w:proofErr w:type="spellEnd"/>
      <w:r w:rsidR="007D7967">
        <w:rPr>
          <w:rFonts w:cs="Times New Roman"/>
        </w:rPr>
        <w:t xml:space="preserve">, 2007, 2). </w:t>
      </w:r>
      <w:r w:rsidR="0048187B">
        <w:rPr>
          <w:rFonts w:cs="Times New Roman"/>
        </w:rPr>
        <w:t>E</w:t>
      </w:r>
      <w:r w:rsidR="00AA7BFF">
        <w:rPr>
          <w:rFonts w:cs="Times New Roman"/>
        </w:rPr>
        <w:t>ven the most effective</w:t>
      </w:r>
      <w:r w:rsidR="0031514E">
        <w:rPr>
          <w:rFonts w:cs="Times New Roman"/>
        </w:rPr>
        <w:t xml:space="preserve"> treatment programs</w:t>
      </w:r>
      <w:r w:rsidR="00AA7BFF">
        <w:rPr>
          <w:rFonts w:cs="Times New Roman"/>
        </w:rPr>
        <w:t xml:space="preserve"> available</w:t>
      </w:r>
      <w:r w:rsidR="0031514E">
        <w:rPr>
          <w:rFonts w:cs="Times New Roman"/>
        </w:rPr>
        <w:t xml:space="preserve"> may not be appropriate for female youth offenders </w:t>
      </w:r>
      <w:r w:rsidR="007D7967">
        <w:rPr>
          <w:rFonts w:cs="Times New Roman"/>
        </w:rPr>
        <w:t>if such programs do not take</w:t>
      </w:r>
      <w:r w:rsidR="00E66B92">
        <w:rPr>
          <w:rFonts w:cs="Times New Roman"/>
        </w:rPr>
        <w:t xml:space="preserve"> these</w:t>
      </w:r>
      <w:r w:rsidR="0048187B">
        <w:rPr>
          <w:rFonts w:cs="Times New Roman"/>
        </w:rPr>
        <w:t xml:space="preserve"> gender-based (and gendered)</w:t>
      </w:r>
      <w:r w:rsidR="00E66B92">
        <w:rPr>
          <w:rFonts w:cs="Times New Roman"/>
        </w:rPr>
        <w:t xml:space="preserve"> differences into consideration </w:t>
      </w:r>
      <w:r w:rsidR="00AA7BFF">
        <w:rPr>
          <w:rFonts w:cs="Times New Roman"/>
        </w:rPr>
        <w:t>(</w:t>
      </w:r>
      <w:proofErr w:type="spellStart"/>
      <w:r w:rsidR="00AA7BFF">
        <w:rPr>
          <w:rFonts w:cs="Times New Roman"/>
        </w:rPr>
        <w:t>Totten</w:t>
      </w:r>
      <w:proofErr w:type="spellEnd"/>
      <w:r w:rsidR="00AA7BFF">
        <w:rPr>
          <w:rFonts w:cs="Times New Roman"/>
        </w:rPr>
        <w:t>, 2007).</w:t>
      </w:r>
      <w:r w:rsidR="00E66B92">
        <w:rPr>
          <w:rFonts w:cs="Times New Roman"/>
        </w:rPr>
        <w:t xml:space="preserve"> </w:t>
      </w:r>
      <w:proofErr w:type="spellStart"/>
      <w:r w:rsidR="0003203F">
        <w:rPr>
          <w:rFonts w:cs="Times New Roman"/>
        </w:rPr>
        <w:t>Totten</w:t>
      </w:r>
      <w:proofErr w:type="spellEnd"/>
      <w:r w:rsidR="0003203F">
        <w:rPr>
          <w:rFonts w:cs="Times New Roman"/>
        </w:rPr>
        <w:t xml:space="preserve"> notes that “whereas therapeutic settings for boys focus on independence and separation ... the foundation of quality programming for girls </w:t>
      </w:r>
      <w:r w:rsidR="00A909A3">
        <w:rPr>
          <w:rFonts w:cs="Times New Roman"/>
        </w:rPr>
        <w:t>“is developing a sense of efficacy and empowerment” (2007, p. 3).</w:t>
      </w:r>
    </w:p>
    <w:p w:rsidR="0048187B" w:rsidRDefault="0048187B" w:rsidP="003C78D8">
      <w:pPr>
        <w:autoSpaceDE w:val="0"/>
        <w:autoSpaceDN w:val="0"/>
        <w:adjustRightInd w:val="0"/>
        <w:spacing w:after="0" w:line="240" w:lineRule="auto"/>
        <w:rPr>
          <w:rFonts w:cs="Times New Roman"/>
        </w:rPr>
      </w:pPr>
    </w:p>
    <w:p w:rsidR="00740012" w:rsidRDefault="00554A37" w:rsidP="009B3A63">
      <w:pPr>
        <w:autoSpaceDE w:val="0"/>
        <w:autoSpaceDN w:val="0"/>
        <w:adjustRightInd w:val="0"/>
        <w:spacing w:after="0" w:line="240" w:lineRule="auto"/>
        <w:rPr>
          <w:rFonts w:cs="Times New Roman"/>
        </w:rPr>
      </w:pPr>
      <w:r>
        <w:rPr>
          <w:rFonts w:cs="Times New Roman"/>
        </w:rPr>
        <w:t>Given that many</w:t>
      </w:r>
      <w:r w:rsidR="009B3A63">
        <w:rPr>
          <w:rFonts w:cs="Times New Roman"/>
        </w:rPr>
        <w:t xml:space="preserve"> female you</w:t>
      </w:r>
      <w:r w:rsidR="00E66B92">
        <w:rPr>
          <w:rFonts w:cs="Times New Roman"/>
        </w:rPr>
        <w:t>ng</w:t>
      </w:r>
      <w:r w:rsidR="009B3A63">
        <w:rPr>
          <w:rFonts w:cs="Times New Roman"/>
        </w:rPr>
        <w:t xml:space="preserve"> offenders </w:t>
      </w:r>
      <w:r>
        <w:rPr>
          <w:rFonts w:cs="Times New Roman"/>
        </w:rPr>
        <w:t>have</w:t>
      </w:r>
      <w:r w:rsidR="009B3A63">
        <w:rPr>
          <w:rFonts w:cs="Times New Roman"/>
        </w:rPr>
        <w:t xml:space="preserve"> extensive histories of complex trauma, </w:t>
      </w:r>
      <w:r>
        <w:rPr>
          <w:rFonts w:cs="Times New Roman"/>
        </w:rPr>
        <w:t xml:space="preserve">gender-responsive treatment </w:t>
      </w:r>
      <w:r w:rsidR="009B3A63">
        <w:rPr>
          <w:rFonts w:cs="Times New Roman"/>
        </w:rPr>
        <w:t xml:space="preserve">means </w:t>
      </w:r>
      <w:r w:rsidR="007F1804">
        <w:rPr>
          <w:rFonts w:cs="Times New Roman"/>
        </w:rPr>
        <w:t>relating to these youth from a</w:t>
      </w:r>
      <w:r w:rsidR="009B3A63">
        <w:rPr>
          <w:rFonts w:cs="Times New Roman"/>
        </w:rPr>
        <w:t xml:space="preserve"> trauma-informed perspective</w:t>
      </w:r>
      <w:r w:rsidR="007F1804">
        <w:rPr>
          <w:rStyle w:val="FootnoteReference"/>
          <w:rFonts w:cs="Times New Roman"/>
        </w:rPr>
        <w:footnoteReference w:id="15"/>
      </w:r>
      <w:r w:rsidR="009B3A63">
        <w:rPr>
          <w:rFonts w:cs="Times New Roman"/>
        </w:rPr>
        <w:t>, building trust, making sure they feel safe, that their needs in multiple areas of their lives are met and addressed in a holistic manner, and ensuring that programs are strengths</w:t>
      </w:r>
      <w:r w:rsidR="00740012">
        <w:rPr>
          <w:rFonts w:cs="Times New Roman"/>
        </w:rPr>
        <w:t>-</w:t>
      </w:r>
      <w:r w:rsidR="009B3A63">
        <w:rPr>
          <w:rFonts w:cs="Times New Roman"/>
        </w:rPr>
        <w:t>based (</w:t>
      </w:r>
      <w:proofErr w:type="spellStart"/>
      <w:r w:rsidR="009B3A63">
        <w:rPr>
          <w:rFonts w:cs="Times New Roman"/>
        </w:rPr>
        <w:t>Kerig</w:t>
      </w:r>
      <w:proofErr w:type="spellEnd"/>
      <w:r w:rsidR="009B3A63">
        <w:rPr>
          <w:rFonts w:cs="Times New Roman"/>
        </w:rPr>
        <w:t xml:space="preserve"> &amp; Ford,</w:t>
      </w:r>
      <w:r w:rsidR="001D390E">
        <w:rPr>
          <w:rFonts w:cs="Times New Roman"/>
        </w:rPr>
        <w:t xml:space="preserve"> 2014). </w:t>
      </w:r>
      <w:proofErr w:type="spellStart"/>
      <w:r w:rsidR="00A909A3">
        <w:rPr>
          <w:rFonts w:cs="Times New Roman"/>
        </w:rPr>
        <w:t>Kerig</w:t>
      </w:r>
      <w:proofErr w:type="spellEnd"/>
      <w:r w:rsidR="00A909A3">
        <w:rPr>
          <w:rFonts w:cs="Times New Roman"/>
        </w:rPr>
        <w:t xml:space="preserve"> and Ford suggest that </w:t>
      </w:r>
      <w:proofErr w:type="spellStart"/>
      <w:r w:rsidR="00A909A3">
        <w:rPr>
          <w:rFonts w:cs="Times New Roman"/>
        </w:rPr>
        <w:t>operationalizing</w:t>
      </w:r>
      <w:proofErr w:type="spellEnd"/>
      <w:r w:rsidR="00A909A3">
        <w:rPr>
          <w:rFonts w:cs="Times New Roman"/>
        </w:rPr>
        <w:t xml:space="preserve"> gender-responsive programming can occur in two ways: either develop new gender specific interventions for justice-involved girls or develop gender-responsive accommodations to existing evidence-based, trauma-informed treatment programs (</w:t>
      </w:r>
      <w:proofErr w:type="spellStart"/>
      <w:r w:rsidR="00A909A3">
        <w:rPr>
          <w:rFonts w:cs="Times New Roman"/>
        </w:rPr>
        <w:t>Kerig</w:t>
      </w:r>
      <w:proofErr w:type="spellEnd"/>
      <w:r w:rsidR="00A909A3">
        <w:rPr>
          <w:rFonts w:cs="Times New Roman"/>
        </w:rPr>
        <w:t xml:space="preserve"> &amp; Ford, 2014).</w:t>
      </w:r>
    </w:p>
    <w:p w:rsidR="00983C46" w:rsidRDefault="00983C46" w:rsidP="009B3A63">
      <w:pPr>
        <w:autoSpaceDE w:val="0"/>
        <w:autoSpaceDN w:val="0"/>
        <w:adjustRightInd w:val="0"/>
        <w:spacing w:after="0" w:line="240" w:lineRule="auto"/>
        <w:rPr>
          <w:rFonts w:cs="Times New Roman"/>
        </w:rPr>
      </w:pPr>
    </w:p>
    <w:p w:rsidR="00554A37" w:rsidRDefault="009D6F4A" w:rsidP="009B3A63">
      <w:pPr>
        <w:autoSpaceDE w:val="0"/>
        <w:autoSpaceDN w:val="0"/>
        <w:adjustRightInd w:val="0"/>
        <w:spacing w:after="0" w:line="240" w:lineRule="auto"/>
        <w:rPr>
          <w:rFonts w:cs="Times New Roman"/>
        </w:rPr>
      </w:pPr>
      <w:r>
        <w:rPr>
          <w:rFonts w:cs="Times New Roman"/>
        </w:rPr>
        <w:t xml:space="preserve">Traditional treatment and corrections models typically focus on what is lacking or “wrong” with an individual (Harris &amp; </w:t>
      </w:r>
      <w:proofErr w:type="spellStart"/>
      <w:r>
        <w:rPr>
          <w:rFonts w:cs="Times New Roman"/>
        </w:rPr>
        <w:t>Fitton</w:t>
      </w:r>
      <w:proofErr w:type="spellEnd"/>
      <w:r>
        <w:rPr>
          <w:rFonts w:cs="Times New Roman"/>
        </w:rPr>
        <w:t xml:space="preserve">, 2010, </w:t>
      </w:r>
      <w:r w:rsidR="005F0230">
        <w:rPr>
          <w:rFonts w:cs="Times New Roman"/>
        </w:rPr>
        <w:t>p. 114); however,</w:t>
      </w:r>
      <w:r w:rsidR="00A909A3">
        <w:rPr>
          <w:rFonts w:cs="Times New Roman"/>
        </w:rPr>
        <w:t xml:space="preserve"> since</w:t>
      </w:r>
      <w:r w:rsidR="005F0230">
        <w:rPr>
          <w:rFonts w:cs="Times New Roman"/>
        </w:rPr>
        <w:t xml:space="preserve"> most female youth offenders </w:t>
      </w:r>
      <w:r w:rsidR="00A909A3">
        <w:rPr>
          <w:rFonts w:cs="Times New Roman"/>
        </w:rPr>
        <w:t>struggle with negative self-concepts and poor self-esteem</w:t>
      </w:r>
      <w:r w:rsidR="00E05448">
        <w:rPr>
          <w:rFonts w:cs="Times New Roman"/>
        </w:rPr>
        <w:t xml:space="preserve"> (Le, 2012; </w:t>
      </w:r>
      <w:proofErr w:type="spellStart"/>
      <w:r w:rsidR="00E05448">
        <w:rPr>
          <w:rFonts w:cs="Times New Roman"/>
        </w:rPr>
        <w:t>Totten</w:t>
      </w:r>
      <w:proofErr w:type="spellEnd"/>
      <w:r w:rsidR="00E05448">
        <w:rPr>
          <w:rFonts w:cs="Times New Roman"/>
        </w:rPr>
        <w:t>, 2007), they would</w:t>
      </w:r>
      <w:r w:rsidR="005F0230">
        <w:rPr>
          <w:rFonts w:cs="Times New Roman"/>
        </w:rPr>
        <w:t xml:space="preserve"> benefit</w:t>
      </w:r>
      <w:r w:rsidR="00E05448">
        <w:rPr>
          <w:rFonts w:cs="Times New Roman"/>
        </w:rPr>
        <w:t xml:space="preserve"> more</w:t>
      </w:r>
      <w:r w:rsidR="005F0230">
        <w:rPr>
          <w:rFonts w:cs="Times New Roman"/>
        </w:rPr>
        <w:t xml:space="preserve"> from being told what is “right” with them and to have their strengths and skills affirmed and supported. Strength-based programs are crucial to fostering motivation, internal and external strength, </w:t>
      </w:r>
      <w:r w:rsidR="00990283">
        <w:rPr>
          <w:rFonts w:cs="Times New Roman"/>
        </w:rPr>
        <w:t>and the skills that support females to cope more effectively</w:t>
      </w:r>
      <w:r w:rsidR="005F0230">
        <w:rPr>
          <w:rFonts w:cs="Times New Roman"/>
        </w:rPr>
        <w:t xml:space="preserve"> (Harris &amp; </w:t>
      </w:r>
      <w:proofErr w:type="spellStart"/>
      <w:r w:rsidR="005F0230">
        <w:rPr>
          <w:rFonts w:cs="Times New Roman"/>
        </w:rPr>
        <w:t>Fitton</w:t>
      </w:r>
      <w:proofErr w:type="spellEnd"/>
      <w:r w:rsidR="005F0230">
        <w:rPr>
          <w:rFonts w:cs="Times New Roman"/>
        </w:rPr>
        <w:t>, 2010)</w:t>
      </w:r>
      <w:r w:rsidR="00867EC3">
        <w:rPr>
          <w:rFonts w:cs="Times New Roman"/>
        </w:rPr>
        <w:t xml:space="preserve">. According to </w:t>
      </w:r>
      <w:proofErr w:type="spellStart"/>
      <w:r w:rsidR="00867EC3">
        <w:rPr>
          <w:rFonts w:cs="Times New Roman"/>
        </w:rPr>
        <w:t>Totten</w:t>
      </w:r>
      <w:proofErr w:type="spellEnd"/>
      <w:r w:rsidR="00867EC3">
        <w:rPr>
          <w:rFonts w:cs="Times New Roman"/>
        </w:rPr>
        <w:t>, a strengths-based approach “... builds ‘pillows’ against the unique risks faced by young women and develops resiliency</w:t>
      </w:r>
      <w:r w:rsidR="007F1804">
        <w:rPr>
          <w:rFonts w:cs="Times New Roman"/>
        </w:rPr>
        <w:t>” (2007, p.1</w:t>
      </w:r>
      <w:r w:rsidR="00740012">
        <w:rPr>
          <w:rFonts w:cs="Times New Roman"/>
        </w:rPr>
        <w:t>)</w:t>
      </w:r>
      <w:r w:rsidR="005F0230">
        <w:rPr>
          <w:rFonts w:cs="Times New Roman"/>
        </w:rPr>
        <w:t xml:space="preserve"> </w:t>
      </w:r>
    </w:p>
    <w:p w:rsidR="00554A37" w:rsidRDefault="00554A37" w:rsidP="009B3A63">
      <w:pPr>
        <w:autoSpaceDE w:val="0"/>
        <w:autoSpaceDN w:val="0"/>
        <w:adjustRightInd w:val="0"/>
        <w:spacing w:after="0" w:line="240" w:lineRule="auto"/>
        <w:rPr>
          <w:rFonts w:cs="Times New Roman"/>
        </w:rPr>
      </w:pPr>
    </w:p>
    <w:p w:rsidR="00983C46" w:rsidRDefault="00772302" w:rsidP="009B3A63">
      <w:pPr>
        <w:autoSpaceDE w:val="0"/>
        <w:autoSpaceDN w:val="0"/>
        <w:adjustRightInd w:val="0"/>
        <w:spacing w:after="0" w:line="240" w:lineRule="auto"/>
        <w:rPr>
          <w:rFonts w:cs="Times New Roman"/>
        </w:rPr>
      </w:pPr>
      <w:proofErr w:type="spellStart"/>
      <w:r>
        <w:rPr>
          <w:rFonts w:cs="Times New Roman"/>
        </w:rPr>
        <w:t>Totten</w:t>
      </w:r>
      <w:proofErr w:type="spellEnd"/>
      <w:r>
        <w:rPr>
          <w:rFonts w:cs="Times New Roman"/>
        </w:rPr>
        <w:t xml:space="preserve"> (2007</w:t>
      </w:r>
      <w:r w:rsidR="00BF3DDB">
        <w:rPr>
          <w:rFonts w:cs="Times New Roman"/>
        </w:rPr>
        <w:t>, p. 2</w:t>
      </w:r>
      <w:r>
        <w:rPr>
          <w:rFonts w:cs="Times New Roman"/>
        </w:rPr>
        <w:t xml:space="preserve">) identifies numerous paths and activities that ought to be included in strengths-based programming. Specifically, he contends that strengths-based programming should include: (1) opportunities to develop a range of educational and vocational skills, (2) an emphasis on a variety of activities that help to facilitate empowerment, self-respect, and self-efficacy; (3) counselling and </w:t>
      </w:r>
      <w:r>
        <w:rPr>
          <w:rFonts w:cs="Times New Roman"/>
        </w:rPr>
        <w:lastRenderedPageBreak/>
        <w:t xml:space="preserve">education on issues that are relevant to adolescent female offender’s lives (e.g., harm reduction approaches to reducing risk behaviours and improving health, parenting education and training); and (4) therapeutic interventions and models that effectively support female youth in processing and healing </w:t>
      </w:r>
      <w:r w:rsidR="00BF3DDB">
        <w:rPr>
          <w:rFonts w:cs="Times New Roman"/>
        </w:rPr>
        <w:t>the adversities that contributed to their difficult lives.</w:t>
      </w:r>
    </w:p>
    <w:p w:rsidR="00554A37" w:rsidRDefault="00554A37" w:rsidP="009B3A63">
      <w:pPr>
        <w:autoSpaceDE w:val="0"/>
        <w:autoSpaceDN w:val="0"/>
        <w:adjustRightInd w:val="0"/>
        <w:spacing w:after="0" w:line="240" w:lineRule="auto"/>
        <w:rPr>
          <w:rFonts w:cs="Times New Roman"/>
        </w:rPr>
      </w:pPr>
    </w:p>
    <w:p w:rsidR="006C58D6" w:rsidRDefault="00A909A3" w:rsidP="009B3A63">
      <w:pPr>
        <w:autoSpaceDE w:val="0"/>
        <w:autoSpaceDN w:val="0"/>
        <w:adjustRightInd w:val="0"/>
        <w:spacing w:after="0" w:line="240" w:lineRule="auto"/>
        <w:rPr>
          <w:rFonts w:cs="Times New Roman"/>
        </w:rPr>
      </w:pPr>
      <w:r>
        <w:rPr>
          <w:rFonts w:cs="Times New Roman"/>
        </w:rPr>
        <w:t>Le (2012) notes that unlike the Canadian youth justice system, a multitude of gender-specific programs for female young offenders have been developed and implemented in the American juvenile justice system since 1992</w:t>
      </w:r>
      <w:r w:rsidR="00E05448">
        <w:rPr>
          <w:rFonts w:cs="Times New Roman"/>
        </w:rPr>
        <w:t>, and i</w:t>
      </w:r>
      <w:r w:rsidR="00D56813">
        <w:rPr>
          <w:rFonts w:cs="Times New Roman"/>
        </w:rPr>
        <w:t xml:space="preserve">dentifies several programs that </w:t>
      </w:r>
      <w:r w:rsidR="00E05448">
        <w:rPr>
          <w:rFonts w:cs="Times New Roman"/>
        </w:rPr>
        <w:t>would be both</w:t>
      </w:r>
      <w:r w:rsidR="00511277">
        <w:rPr>
          <w:rFonts w:cs="Times New Roman"/>
        </w:rPr>
        <w:t xml:space="preserve"> applicable</w:t>
      </w:r>
      <w:r w:rsidR="00E05448">
        <w:rPr>
          <w:rFonts w:cs="Times New Roman"/>
        </w:rPr>
        <w:t xml:space="preserve"> to</w:t>
      </w:r>
      <w:r w:rsidR="00511277">
        <w:rPr>
          <w:rFonts w:cs="Times New Roman"/>
        </w:rPr>
        <w:t xml:space="preserve"> </w:t>
      </w:r>
      <w:r w:rsidR="00E05448">
        <w:rPr>
          <w:rFonts w:cs="Times New Roman"/>
        </w:rPr>
        <w:t>and</w:t>
      </w:r>
      <w:r w:rsidR="00511277">
        <w:rPr>
          <w:rFonts w:cs="Times New Roman"/>
        </w:rPr>
        <w:t xml:space="preserve"> effective</w:t>
      </w:r>
      <w:r w:rsidR="00E05448">
        <w:rPr>
          <w:rFonts w:cs="Times New Roman"/>
        </w:rPr>
        <w:t xml:space="preserve"> in Canadian youth justice correctional settings</w:t>
      </w:r>
      <w:r w:rsidR="00E05448">
        <w:rPr>
          <w:rStyle w:val="FootnoteReference"/>
          <w:rFonts w:cs="Times New Roman"/>
        </w:rPr>
        <w:footnoteReference w:id="16"/>
      </w:r>
      <w:r w:rsidR="00E05448">
        <w:rPr>
          <w:rFonts w:cs="Times New Roman"/>
        </w:rPr>
        <w:t>.</w:t>
      </w:r>
      <w:r w:rsidR="00F94A64">
        <w:rPr>
          <w:rFonts w:cs="Times New Roman"/>
        </w:rPr>
        <w:t xml:space="preserve"> One such program is Girls’ Circle, a strengths-based program that has been implemented in both community and secure (e.g.</w:t>
      </w:r>
      <w:r w:rsidR="00511277">
        <w:rPr>
          <w:rFonts w:cs="Times New Roman"/>
        </w:rPr>
        <w:t>,</w:t>
      </w:r>
      <w:r w:rsidR="00F94A64">
        <w:rPr>
          <w:rFonts w:cs="Times New Roman"/>
        </w:rPr>
        <w:t xml:space="preserve"> detention and residential treatment facilities) settings</w:t>
      </w:r>
      <w:r w:rsidR="00870AB0">
        <w:rPr>
          <w:rFonts w:cs="Times New Roman"/>
        </w:rPr>
        <w:t xml:space="preserve">. </w:t>
      </w:r>
      <w:proofErr w:type="spellStart"/>
      <w:r w:rsidR="00870AB0">
        <w:rPr>
          <w:rFonts w:cs="Times New Roman"/>
        </w:rPr>
        <w:t>Roa</w:t>
      </w:r>
      <w:proofErr w:type="spellEnd"/>
      <w:r w:rsidR="00870AB0">
        <w:rPr>
          <w:rFonts w:cs="Times New Roman"/>
        </w:rPr>
        <w:t xml:space="preserve">, Irvine and </w:t>
      </w:r>
      <w:proofErr w:type="spellStart"/>
      <w:r w:rsidR="00870AB0">
        <w:rPr>
          <w:rFonts w:cs="Times New Roman"/>
        </w:rPr>
        <w:t>Cervantez’s</w:t>
      </w:r>
      <w:proofErr w:type="spellEnd"/>
      <w:r w:rsidR="00870AB0">
        <w:rPr>
          <w:rFonts w:cs="Times New Roman"/>
        </w:rPr>
        <w:t xml:space="preserve"> study of the program’s effectiveness found that short-term effects included a more positive body image and increases in expressing verbal affection, while long-term effects included decreased alcohol use and self-harming behaviours and increased self-efficacy (2007; cited in Le, 2012, p. 29). </w:t>
      </w:r>
      <w:r w:rsidR="006C58D6">
        <w:rPr>
          <w:rFonts w:cs="Times New Roman"/>
        </w:rPr>
        <w:t xml:space="preserve">Le notes that </w:t>
      </w:r>
      <w:proofErr w:type="spellStart"/>
      <w:r w:rsidR="00870AB0">
        <w:rPr>
          <w:rFonts w:cs="Times New Roman"/>
        </w:rPr>
        <w:t>Roa</w:t>
      </w:r>
      <w:proofErr w:type="spellEnd"/>
      <w:r w:rsidR="00870AB0">
        <w:rPr>
          <w:rFonts w:cs="Times New Roman"/>
        </w:rPr>
        <w:t xml:space="preserve"> et </w:t>
      </w:r>
      <w:proofErr w:type="spellStart"/>
      <w:r w:rsidR="00870AB0">
        <w:rPr>
          <w:rFonts w:cs="Times New Roman"/>
        </w:rPr>
        <w:t>al</w:t>
      </w:r>
      <w:r w:rsidR="000D0129">
        <w:rPr>
          <w:rFonts w:cs="Times New Roman"/>
        </w:rPr>
        <w:t>’s</w:t>
      </w:r>
      <w:proofErr w:type="spellEnd"/>
      <w:r w:rsidR="006C58D6">
        <w:rPr>
          <w:rFonts w:cs="Times New Roman"/>
        </w:rPr>
        <w:t xml:space="preserve"> (2007)</w:t>
      </w:r>
      <w:r w:rsidR="00870AB0">
        <w:rPr>
          <w:rFonts w:cs="Times New Roman"/>
        </w:rPr>
        <w:t xml:space="preserve"> </w:t>
      </w:r>
      <w:r w:rsidR="000D0129">
        <w:rPr>
          <w:rFonts w:cs="Times New Roman"/>
        </w:rPr>
        <w:t xml:space="preserve">study </w:t>
      </w:r>
      <w:r w:rsidR="00870AB0">
        <w:rPr>
          <w:rFonts w:cs="Times New Roman"/>
        </w:rPr>
        <w:t xml:space="preserve">also found that </w:t>
      </w:r>
      <w:r w:rsidR="006C58D6">
        <w:rPr>
          <w:rFonts w:cs="Times New Roman"/>
        </w:rPr>
        <w:t xml:space="preserve">female youth held in secure settings did not show as much improvement in short-term skills and self-efficacy gains compared to program participants who were not in secure settings; Le speculates that perhaps additional research needs to be undertaken to better understand the experiences of incarcerated female young offenders (2012, p. 29). </w:t>
      </w:r>
    </w:p>
    <w:p w:rsidR="006C58D6" w:rsidRDefault="006C58D6" w:rsidP="009B3A63">
      <w:pPr>
        <w:autoSpaceDE w:val="0"/>
        <w:autoSpaceDN w:val="0"/>
        <w:adjustRightInd w:val="0"/>
        <w:spacing w:after="0" w:line="240" w:lineRule="auto"/>
        <w:rPr>
          <w:rFonts w:cs="Times New Roman"/>
        </w:rPr>
      </w:pPr>
    </w:p>
    <w:p w:rsidR="00CA456C" w:rsidRDefault="00F4767A" w:rsidP="00F4767A">
      <w:pPr>
        <w:autoSpaceDE w:val="0"/>
        <w:autoSpaceDN w:val="0"/>
        <w:adjustRightInd w:val="0"/>
        <w:spacing w:after="0" w:line="240" w:lineRule="auto"/>
        <w:rPr>
          <w:rFonts w:cs="Times New Roman"/>
        </w:rPr>
      </w:pPr>
      <w:r>
        <w:rPr>
          <w:rFonts w:cs="Times New Roman"/>
        </w:rPr>
        <w:t xml:space="preserve">A second gender-responsive program discussed by Le is </w:t>
      </w:r>
      <w:r w:rsidR="00511277">
        <w:rPr>
          <w:rFonts w:cs="Times New Roman"/>
        </w:rPr>
        <w:t>a program from North Carolina known as Holistic Enrichment for At-Risk Teens (HEART), and specifically designed to reduce recidivism and substance use relapse among female youth offenders</w:t>
      </w:r>
      <w:r>
        <w:rPr>
          <w:rFonts w:cs="Times New Roman"/>
        </w:rPr>
        <w:t xml:space="preserve">. According to Le, the HEART program uses gender-specific perspectives such as feminist and relational theories and </w:t>
      </w:r>
      <w:r w:rsidR="00545BD5">
        <w:rPr>
          <w:rFonts w:cs="Times New Roman"/>
        </w:rPr>
        <w:t xml:space="preserve">uses a Bio-Psycho-Social-Spiritual </w:t>
      </w:r>
      <w:r w:rsidR="00CA456C">
        <w:rPr>
          <w:rFonts w:cs="Times New Roman"/>
        </w:rPr>
        <w:t>(</w:t>
      </w:r>
      <w:r w:rsidR="00545BD5">
        <w:rPr>
          <w:rFonts w:cs="Times New Roman"/>
        </w:rPr>
        <w:t xml:space="preserve">BPSS) model of addiction that </w:t>
      </w:r>
      <w:r>
        <w:rPr>
          <w:rFonts w:cs="Times New Roman"/>
        </w:rPr>
        <w:t>takes into account multiple</w:t>
      </w:r>
      <w:r w:rsidR="00545BD5">
        <w:rPr>
          <w:rFonts w:cs="Times New Roman"/>
        </w:rPr>
        <w:t xml:space="preserve"> factors that contribute to substance abuse as well as multiple</w:t>
      </w:r>
      <w:r>
        <w:rPr>
          <w:rFonts w:cs="Times New Roman"/>
        </w:rPr>
        <w:t xml:space="preserve"> levels of risk (e.g., biological, societal, developmental, familial) that contribute to criminal behaviour (2012, p. 29)</w:t>
      </w:r>
      <w:r w:rsidR="00545BD5">
        <w:rPr>
          <w:rFonts w:cs="Times New Roman"/>
        </w:rPr>
        <w:t>. Roberts-Lewis, Welch-Brewer, Jackson, Kirk and Pharr note that the treatment comprises three approaches: therapeutic community, cognitive-behavioural therapy, and a blended educational model</w:t>
      </w:r>
      <w:r w:rsidR="00D972E6">
        <w:rPr>
          <w:rFonts w:cs="Times New Roman"/>
        </w:rPr>
        <w:t xml:space="preserve"> (2010, p. 484). The educational model was </w:t>
      </w:r>
      <w:r w:rsidR="00545BD5">
        <w:rPr>
          <w:rFonts w:cs="Times New Roman"/>
        </w:rPr>
        <w:t xml:space="preserve">designed to </w:t>
      </w:r>
      <w:r w:rsidR="00D972E6">
        <w:rPr>
          <w:rFonts w:cs="Times New Roman"/>
        </w:rPr>
        <w:t>“</w:t>
      </w:r>
      <w:r w:rsidR="00545BD5">
        <w:rPr>
          <w:rFonts w:cs="Times New Roman"/>
        </w:rPr>
        <w:t>integrate academic skills with life skills and social skills</w:t>
      </w:r>
      <w:r w:rsidR="00D972E6">
        <w:rPr>
          <w:rFonts w:cs="Times New Roman"/>
        </w:rPr>
        <w:t xml:space="preserve"> and to re-engage girls in the learning process through the use of “individualized, innovative, and gender-specific educational practices” (Roberts-Lewis et al, 2010, p. 484). Le </w:t>
      </w:r>
      <w:r w:rsidR="00841CAC">
        <w:rPr>
          <w:rFonts w:cs="Times New Roman"/>
        </w:rPr>
        <w:t>notes</w:t>
      </w:r>
      <w:r w:rsidR="00D972E6">
        <w:rPr>
          <w:rFonts w:cs="Times New Roman"/>
        </w:rPr>
        <w:t xml:space="preserve"> that participants in the HEART program improved in their use of social support and peer acceptance (i.e., social functioning)</w:t>
      </w:r>
      <w:r w:rsidR="00841CAC">
        <w:rPr>
          <w:rFonts w:cs="Times New Roman"/>
        </w:rPr>
        <w:t>,</w:t>
      </w:r>
      <w:r w:rsidR="00D972E6">
        <w:rPr>
          <w:rFonts w:cs="Times New Roman"/>
        </w:rPr>
        <w:t xml:space="preserve"> as well as their self-esteem and educational status</w:t>
      </w:r>
      <w:r w:rsidR="00841CAC">
        <w:rPr>
          <w:rFonts w:cs="Times New Roman"/>
        </w:rPr>
        <w:t xml:space="preserve"> (2012, p. 29). </w:t>
      </w:r>
    </w:p>
    <w:p w:rsidR="00CA456C" w:rsidRDefault="00CA456C" w:rsidP="00F4767A">
      <w:pPr>
        <w:autoSpaceDE w:val="0"/>
        <w:autoSpaceDN w:val="0"/>
        <w:adjustRightInd w:val="0"/>
        <w:spacing w:after="0" w:line="240" w:lineRule="auto"/>
        <w:rPr>
          <w:rFonts w:cs="Times New Roman"/>
        </w:rPr>
      </w:pPr>
    </w:p>
    <w:p w:rsidR="002A7DFE" w:rsidRDefault="00841CAC" w:rsidP="00F4767A">
      <w:pPr>
        <w:autoSpaceDE w:val="0"/>
        <w:autoSpaceDN w:val="0"/>
        <w:adjustRightInd w:val="0"/>
        <w:spacing w:after="0" w:line="240" w:lineRule="auto"/>
        <w:rPr>
          <w:rFonts w:cs="Times New Roman"/>
        </w:rPr>
      </w:pPr>
      <w:r>
        <w:rPr>
          <w:rFonts w:cs="Times New Roman"/>
        </w:rPr>
        <w:t xml:space="preserve">Roberts-Lewis et al point out that while the girls in the HEART program showed improvements in problems related to social functioning, they did not demonstrate the same kind of improvement in problems related to personal functioning; furthermore </w:t>
      </w:r>
      <w:r w:rsidR="002A7DFE">
        <w:rPr>
          <w:rFonts w:cs="Times New Roman"/>
        </w:rPr>
        <w:t>because the participants were in custody at the time, changes in behaviours related to substance use were not measured</w:t>
      </w:r>
      <w:r w:rsidR="00D972E6">
        <w:rPr>
          <w:rFonts w:cs="Times New Roman"/>
        </w:rPr>
        <w:t>,</w:t>
      </w:r>
      <w:r w:rsidR="002A7DFE">
        <w:rPr>
          <w:rFonts w:cs="Times New Roman"/>
        </w:rPr>
        <w:t xml:space="preserve"> and the participants were not followed up after they completed their sentences, so it is not known whether the treatment is effective in preventing relapse (2010, p. 490). </w:t>
      </w:r>
    </w:p>
    <w:p w:rsidR="002A7DFE" w:rsidRDefault="002A7DFE" w:rsidP="00F4767A">
      <w:pPr>
        <w:autoSpaceDE w:val="0"/>
        <w:autoSpaceDN w:val="0"/>
        <w:adjustRightInd w:val="0"/>
        <w:spacing w:after="0" w:line="240" w:lineRule="auto"/>
        <w:rPr>
          <w:rFonts w:cs="Times New Roman"/>
        </w:rPr>
      </w:pPr>
    </w:p>
    <w:p w:rsidR="00BF3DDB" w:rsidRDefault="002A7DFE" w:rsidP="00F4767A">
      <w:pPr>
        <w:autoSpaceDE w:val="0"/>
        <w:autoSpaceDN w:val="0"/>
        <w:adjustRightInd w:val="0"/>
        <w:spacing w:after="0" w:line="240" w:lineRule="auto"/>
        <w:rPr>
          <w:rFonts w:cs="Times New Roman"/>
        </w:rPr>
      </w:pPr>
      <w:r>
        <w:rPr>
          <w:rFonts w:cs="Times New Roman"/>
        </w:rPr>
        <w:t>A third gender-specific program considered by Le</w:t>
      </w:r>
      <w:r w:rsidR="008A4AB1">
        <w:rPr>
          <w:rFonts w:cs="Times New Roman"/>
        </w:rPr>
        <w:t xml:space="preserve"> (2012)</w:t>
      </w:r>
      <w:r>
        <w:rPr>
          <w:rFonts w:cs="Times New Roman"/>
        </w:rPr>
        <w:t xml:space="preserve"> is a</w:t>
      </w:r>
      <w:r w:rsidR="00511277">
        <w:rPr>
          <w:rFonts w:cs="Times New Roman"/>
        </w:rPr>
        <w:t xml:space="preserve"> Florida-based </w:t>
      </w:r>
      <w:r w:rsidR="00EC095D">
        <w:rPr>
          <w:rFonts w:cs="Times New Roman"/>
        </w:rPr>
        <w:t>program known as PACE (Practical Academic Cultural Education) Center for Girls</w:t>
      </w:r>
      <w:r>
        <w:rPr>
          <w:rFonts w:cs="Times New Roman"/>
        </w:rPr>
        <w:t xml:space="preserve">: </w:t>
      </w:r>
      <w:r w:rsidR="00EC095D">
        <w:rPr>
          <w:rFonts w:cs="Times New Roman"/>
        </w:rPr>
        <w:t>a prevention program</w:t>
      </w:r>
      <w:r w:rsidR="008A4AB1">
        <w:rPr>
          <w:rFonts w:cs="Times New Roman"/>
        </w:rPr>
        <w:t xml:space="preserve"> (offered as a day treatment program)</w:t>
      </w:r>
      <w:r w:rsidR="00EC095D">
        <w:rPr>
          <w:rFonts w:cs="Times New Roman"/>
        </w:rPr>
        <w:t xml:space="preserve"> </w:t>
      </w:r>
      <w:r w:rsidR="008A4AB1">
        <w:rPr>
          <w:rFonts w:cs="Times New Roman"/>
        </w:rPr>
        <w:t xml:space="preserve">that recognizes the relationship between prior victimization (i.e., a history of trauma exposure) and crime and uses a gender-responsive approach to education, counselling, and career planning as a means of strengthening pro-social, protective factors. According to Le, a program </w:t>
      </w:r>
      <w:r w:rsidR="008A4AB1">
        <w:rPr>
          <w:rFonts w:cs="Times New Roman"/>
        </w:rPr>
        <w:lastRenderedPageBreak/>
        <w:t>evaluation conducted in 2009/10 found that “for girls who were transitioning in 2007</w:t>
      </w:r>
      <w:r w:rsidR="005022E7">
        <w:rPr>
          <w:rFonts w:cs="Times New Roman"/>
        </w:rPr>
        <w:t>-2008, 93% were not adjudicated nor had adjudication withheld while they were enrolled in the program, 94% had not been adjudicated nor had adjudication withheld within 6 months from the day program, and 91% had not been adjudicated nor had adjudication withheld within 1 year from the day program” (2012, p.30). Le (2012, p. 30) also notes that the program exceeded its academic goals of having at least 25% of the participants back into a mainstream public school (64% were back in mainstream, public schools at the end of the program) and having at least 75% of participants increase their academic functioning (95% met this goal).</w:t>
      </w:r>
      <w:r w:rsidR="00782EC7">
        <w:rPr>
          <w:rFonts w:cs="Times New Roman"/>
        </w:rPr>
        <w:t xml:space="preserve"> </w:t>
      </w:r>
    </w:p>
    <w:p w:rsidR="001D390E" w:rsidRDefault="001D390E" w:rsidP="009B3A63">
      <w:pPr>
        <w:autoSpaceDE w:val="0"/>
        <w:autoSpaceDN w:val="0"/>
        <w:adjustRightInd w:val="0"/>
        <w:spacing w:after="0" w:line="240" w:lineRule="auto"/>
        <w:rPr>
          <w:rFonts w:cs="Times New Roman"/>
        </w:rPr>
      </w:pPr>
    </w:p>
    <w:p w:rsidR="00782EC7" w:rsidRDefault="00782EC7" w:rsidP="009B3A63">
      <w:pPr>
        <w:autoSpaceDE w:val="0"/>
        <w:autoSpaceDN w:val="0"/>
        <w:adjustRightInd w:val="0"/>
        <w:spacing w:after="0" w:line="240" w:lineRule="auto"/>
        <w:rPr>
          <w:rFonts w:cs="Times New Roman"/>
        </w:rPr>
      </w:pPr>
      <w:r>
        <w:rPr>
          <w:rFonts w:cs="Times New Roman"/>
        </w:rPr>
        <w:t xml:space="preserve">Based on her review of several gender-specific programs, Le (2012) </w:t>
      </w:r>
      <w:r w:rsidR="00CA456C">
        <w:rPr>
          <w:rFonts w:cs="Times New Roman"/>
        </w:rPr>
        <w:t>concludes that several of these programs would be appropriate gender-responsive program options for female young offenders in the Canadian youth justice system</w:t>
      </w:r>
      <w:r>
        <w:rPr>
          <w:rFonts w:cs="Times New Roman"/>
        </w:rPr>
        <w:t>.</w:t>
      </w:r>
      <w:r w:rsidR="00CA456C">
        <w:rPr>
          <w:rFonts w:cs="Times New Roman"/>
        </w:rPr>
        <w:t xml:space="preserve"> </w:t>
      </w:r>
      <w:r w:rsidR="00B83F73">
        <w:rPr>
          <w:rFonts w:cs="Times New Roman"/>
        </w:rPr>
        <w:t xml:space="preserve">A program that Le did not consider in her review is the Art of Yoga program used with female young offenders in the San Francisco Bay area. </w:t>
      </w:r>
      <w:r w:rsidR="009D06D4">
        <w:rPr>
          <w:rFonts w:cs="Times New Roman"/>
        </w:rPr>
        <w:t>The program is a central part of the girls’ rehabilitation and is a year-long program</w:t>
      </w:r>
      <w:r w:rsidR="0027235E">
        <w:rPr>
          <w:rStyle w:val="FootnoteReference"/>
          <w:rFonts w:cs="Times New Roman"/>
        </w:rPr>
        <w:footnoteReference w:id="17"/>
      </w:r>
      <w:r w:rsidR="009D06D4">
        <w:rPr>
          <w:rFonts w:cs="Times New Roman"/>
        </w:rPr>
        <w:t xml:space="preserve"> that occurs during school hours</w:t>
      </w:r>
      <w:r w:rsidR="00315C2B">
        <w:rPr>
          <w:rFonts w:cs="Times New Roman"/>
        </w:rPr>
        <w:t>; a key feature of the program is its aftercare mentoring program to support girls in their re-entry into their communities</w:t>
      </w:r>
      <w:r w:rsidR="009D06D4">
        <w:rPr>
          <w:rFonts w:cs="Times New Roman"/>
        </w:rPr>
        <w:t xml:space="preserve"> (Harris &amp; </w:t>
      </w:r>
      <w:proofErr w:type="spellStart"/>
      <w:r w:rsidR="009D06D4">
        <w:rPr>
          <w:rFonts w:cs="Times New Roman"/>
        </w:rPr>
        <w:t>Fitton</w:t>
      </w:r>
      <w:proofErr w:type="spellEnd"/>
      <w:r w:rsidR="009D06D4">
        <w:rPr>
          <w:rFonts w:cs="Times New Roman"/>
        </w:rPr>
        <w:t xml:space="preserve">, 2010, p. 111). </w:t>
      </w:r>
      <w:r w:rsidR="00315C2B">
        <w:rPr>
          <w:rFonts w:cs="Times New Roman"/>
        </w:rPr>
        <w:t xml:space="preserve">According to Harris and </w:t>
      </w:r>
      <w:proofErr w:type="spellStart"/>
      <w:r w:rsidR="00315C2B">
        <w:rPr>
          <w:rFonts w:cs="Times New Roman"/>
        </w:rPr>
        <w:t>Fitton</w:t>
      </w:r>
      <w:proofErr w:type="spellEnd"/>
      <w:r w:rsidR="00315C2B">
        <w:rPr>
          <w:rFonts w:cs="Times New Roman"/>
        </w:rPr>
        <w:t xml:space="preserve"> (2010), t</w:t>
      </w:r>
      <w:r w:rsidR="009D06D4">
        <w:rPr>
          <w:rFonts w:cs="Times New Roman"/>
        </w:rPr>
        <w:t>he Art of Yoga operates from a gender-responsive approach that seeks to address the participants’ unique needs, reflects the participants</w:t>
      </w:r>
      <w:r w:rsidR="00315C2B">
        <w:rPr>
          <w:rFonts w:cs="Times New Roman"/>
        </w:rPr>
        <w:t>’</w:t>
      </w:r>
      <w:r w:rsidR="009D06D4">
        <w:rPr>
          <w:rFonts w:cs="Times New Roman"/>
        </w:rPr>
        <w:t xml:space="preserve"> realities and acknowledges their developmental pathw</w:t>
      </w:r>
      <w:r w:rsidR="00315C2B">
        <w:rPr>
          <w:rFonts w:cs="Times New Roman"/>
        </w:rPr>
        <w:t>ays into the youth justice system.</w:t>
      </w:r>
    </w:p>
    <w:p w:rsidR="00315C2B" w:rsidRDefault="00315C2B" w:rsidP="009B3A63">
      <w:pPr>
        <w:autoSpaceDE w:val="0"/>
        <w:autoSpaceDN w:val="0"/>
        <w:adjustRightInd w:val="0"/>
        <w:spacing w:after="0" w:line="240" w:lineRule="auto"/>
        <w:rPr>
          <w:rFonts w:cs="Times New Roman"/>
        </w:rPr>
      </w:pPr>
    </w:p>
    <w:p w:rsidR="00315C2B" w:rsidRDefault="00315C2B" w:rsidP="009B3A63">
      <w:pPr>
        <w:autoSpaceDE w:val="0"/>
        <w:autoSpaceDN w:val="0"/>
        <w:adjustRightInd w:val="0"/>
        <w:spacing w:after="0" w:line="240" w:lineRule="auto"/>
        <w:rPr>
          <w:rFonts w:cs="Times New Roman"/>
        </w:rPr>
      </w:pPr>
      <w:r>
        <w:rPr>
          <w:rFonts w:cs="Times New Roman"/>
        </w:rPr>
        <w:t xml:space="preserve">Acknowledging that many of the female youth in the program have trauma histories—both as victims of abuse and as witnesses to violence—and grew up in socially disorganized homes and communities, Harris and </w:t>
      </w:r>
      <w:proofErr w:type="spellStart"/>
      <w:r>
        <w:rPr>
          <w:rFonts w:cs="Times New Roman"/>
        </w:rPr>
        <w:t>Fitton</w:t>
      </w:r>
      <w:proofErr w:type="spellEnd"/>
      <w:r>
        <w:rPr>
          <w:rFonts w:cs="Times New Roman"/>
        </w:rPr>
        <w:t xml:space="preserve"> explain that the program’s Yoga and Creative Arts Curriculum</w:t>
      </w:r>
      <w:r w:rsidR="00063FF4">
        <w:rPr>
          <w:rFonts w:cs="Times New Roman"/>
        </w:rPr>
        <w:t xml:space="preserve"> is designed to support the girls in learning self-awareness, self-respect and self-control in order to facilitate better decision-making</w:t>
      </w:r>
      <w:r w:rsidR="0027235E">
        <w:rPr>
          <w:rFonts w:cs="Times New Roman"/>
        </w:rPr>
        <w:t xml:space="preserve"> through a combination of learning the tenets of </w:t>
      </w:r>
      <w:proofErr w:type="spellStart"/>
      <w:r w:rsidR="0027235E">
        <w:rPr>
          <w:rFonts w:cs="Times New Roman"/>
        </w:rPr>
        <w:t>Patanjali’s</w:t>
      </w:r>
      <w:proofErr w:type="spellEnd"/>
      <w:r w:rsidR="0027235E">
        <w:rPr>
          <w:rFonts w:cs="Times New Roman"/>
        </w:rPr>
        <w:t xml:space="preserve"> eight limbs of yoga (e.g., nonviolence to self and others, integrity, contentment), a yoga practice comprised of </w:t>
      </w:r>
      <w:proofErr w:type="spellStart"/>
      <w:r w:rsidR="0027235E">
        <w:rPr>
          <w:rFonts w:cs="Times New Roman"/>
        </w:rPr>
        <w:t>asanas</w:t>
      </w:r>
      <w:proofErr w:type="spellEnd"/>
      <w:r w:rsidR="0027235E">
        <w:rPr>
          <w:rFonts w:cs="Times New Roman"/>
        </w:rPr>
        <w:t xml:space="preserve">, breath work, and meditation, and creative arts (Harris &amp; </w:t>
      </w:r>
      <w:proofErr w:type="spellStart"/>
      <w:r w:rsidR="0027235E">
        <w:rPr>
          <w:rFonts w:cs="Times New Roman"/>
        </w:rPr>
        <w:t>Fitton</w:t>
      </w:r>
      <w:proofErr w:type="spellEnd"/>
      <w:r w:rsidR="0027235E">
        <w:rPr>
          <w:rFonts w:cs="Times New Roman"/>
        </w:rPr>
        <w:t xml:space="preserve">, 2010). Creative art is used a vehicle for expressing emotions and thoughts and as a safer alternative to acting out through high-risk behaviours (Harris &amp; </w:t>
      </w:r>
      <w:proofErr w:type="spellStart"/>
      <w:r w:rsidR="0027235E">
        <w:rPr>
          <w:rFonts w:cs="Times New Roman"/>
        </w:rPr>
        <w:t>Fitton</w:t>
      </w:r>
      <w:proofErr w:type="spellEnd"/>
      <w:r w:rsidR="0027235E">
        <w:rPr>
          <w:rFonts w:cs="Times New Roman"/>
        </w:rPr>
        <w:t>, 2010).</w:t>
      </w:r>
      <w:r w:rsidR="00661327">
        <w:rPr>
          <w:rFonts w:cs="Times New Roman"/>
        </w:rPr>
        <w:t xml:space="preserve"> </w:t>
      </w:r>
    </w:p>
    <w:p w:rsidR="00782EC7" w:rsidRDefault="00782EC7" w:rsidP="009B3A63">
      <w:pPr>
        <w:autoSpaceDE w:val="0"/>
        <w:autoSpaceDN w:val="0"/>
        <w:adjustRightInd w:val="0"/>
        <w:spacing w:after="0" w:line="240" w:lineRule="auto"/>
        <w:rPr>
          <w:rFonts w:cs="Times New Roman"/>
        </w:rPr>
      </w:pPr>
    </w:p>
    <w:p w:rsidR="00782EC7" w:rsidRDefault="00782EC7" w:rsidP="009B3A63">
      <w:pPr>
        <w:autoSpaceDE w:val="0"/>
        <w:autoSpaceDN w:val="0"/>
        <w:adjustRightInd w:val="0"/>
        <w:spacing w:after="0" w:line="240" w:lineRule="auto"/>
        <w:rPr>
          <w:rFonts w:cs="Times New Roman"/>
        </w:rPr>
      </w:pPr>
    </w:p>
    <w:p w:rsidR="00782EC7" w:rsidRPr="000D0129" w:rsidRDefault="000D0129" w:rsidP="009B3A63">
      <w:pPr>
        <w:autoSpaceDE w:val="0"/>
        <w:autoSpaceDN w:val="0"/>
        <w:adjustRightInd w:val="0"/>
        <w:spacing w:after="0" w:line="240" w:lineRule="auto"/>
        <w:rPr>
          <w:rFonts w:cs="Times New Roman"/>
          <w:b/>
          <w:i/>
        </w:rPr>
      </w:pPr>
      <w:r>
        <w:rPr>
          <w:rFonts w:cs="Times New Roman"/>
          <w:b/>
          <w:i/>
        </w:rPr>
        <w:t>Culturally relevant programs for justice-involved Aboriginal youth</w:t>
      </w:r>
    </w:p>
    <w:p w:rsidR="00832CA0" w:rsidRDefault="000D0129" w:rsidP="009B3A63">
      <w:pPr>
        <w:autoSpaceDE w:val="0"/>
        <w:autoSpaceDN w:val="0"/>
        <w:adjustRightInd w:val="0"/>
        <w:spacing w:after="0" w:line="240" w:lineRule="auto"/>
        <w:rPr>
          <w:rFonts w:cs="Times New Roman"/>
        </w:rPr>
      </w:pPr>
      <w:r>
        <w:rPr>
          <w:rFonts w:cs="Times New Roman"/>
        </w:rPr>
        <w:t xml:space="preserve">Similar to justice-involved female youth, </w:t>
      </w:r>
      <w:r w:rsidR="00832CA0">
        <w:rPr>
          <w:rFonts w:cs="Times New Roman"/>
        </w:rPr>
        <w:t>Aboriginal youths</w:t>
      </w:r>
      <w:r w:rsidR="00493FAE">
        <w:rPr>
          <w:rFonts w:cs="Times New Roman"/>
        </w:rPr>
        <w:t>’</w:t>
      </w:r>
      <w:r w:rsidR="00832CA0">
        <w:rPr>
          <w:rFonts w:cs="Times New Roman"/>
        </w:rPr>
        <w:t xml:space="preserve"> </w:t>
      </w:r>
      <w:r>
        <w:rPr>
          <w:rFonts w:cs="Times New Roman"/>
        </w:rPr>
        <w:t xml:space="preserve">developmental </w:t>
      </w:r>
      <w:r w:rsidR="00832CA0">
        <w:rPr>
          <w:rFonts w:cs="Times New Roman"/>
        </w:rPr>
        <w:t>pathways into</w:t>
      </w:r>
      <w:r>
        <w:rPr>
          <w:rFonts w:cs="Times New Roman"/>
        </w:rPr>
        <w:t xml:space="preserve"> both substance use disorders and</w:t>
      </w:r>
      <w:r w:rsidR="00832CA0">
        <w:rPr>
          <w:rFonts w:cs="Times New Roman"/>
        </w:rPr>
        <w:t xml:space="preserve"> the </w:t>
      </w:r>
      <w:r w:rsidR="00390620">
        <w:rPr>
          <w:rFonts w:cs="Times New Roman"/>
        </w:rPr>
        <w:t>criminal</w:t>
      </w:r>
      <w:r w:rsidR="00832CA0">
        <w:rPr>
          <w:rFonts w:cs="Times New Roman"/>
        </w:rPr>
        <w:t xml:space="preserve"> justice system are also distinct from the paths of </w:t>
      </w:r>
      <w:r w:rsidR="00390620">
        <w:rPr>
          <w:rFonts w:cs="Times New Roman"/>
        </w:rPr>
        <w:t xml:space="preserve">justice-involved </w:t>
      </w:r>
      <w:r w:rsidR="00832CA0">
        <w:rPr>
          <w:rFonts w:cs="Times New Roman"/>
        </w:rPr>
        <w:t xml:space="preserve">youth </w:t>
      </w:r>
      <w:r>
        <w:rPr>
          <w:rFonts w:cs="Times New Roman"/>
        </w:rPr>
        <w:t>from</w:t>
      </w:r>
      <w:r w:rsidR="00832CA0">
        <w:rPr>
          <w:rFonts w:cs="Times New Roman"/>
        </w:rPr>
        <w:t xml:space="preserve"> the dominant culture</w:t>
      </w:r>
      <w:r w:rsidR="00390620">
        <w:rPr>
          <w:rFonts w:cs="Times New Roman"/>
        </w:rPr>
        <w:t xml:space="preserve">. While there has been some development of culturally relevant programs for Aboriginal youth in custody, availability seems to vary by province and </w:t>
      </w:r>
      <w:r w:rsidR="00B26B85">
        <w:rPr>
          <w:rFonts w:cs="Times New Roman"/>
        </w:rPr>
        <w:t xml:space="preserve">by </w:t>
      </w:r>
      <w:r w:rsidR="00390620">
        <w:rPr>
          <w:rFonts w:cs="Times New Roman"/>
        </w:rPr>
        <w:t xml:space="preserve">regions within </w:t>
      </w:r>
      <w:r w:rsidR="00B26B85">
        <w:rPr>
          <w:rFonts w:cs="Times New Roman"/>
        </w:rPr>
        <w:t>provinces</w:t>
      </w:r>
      <w:r w:rsidR="00B26B85">
        <w:rPr>
          <w:rStyle w:val="FootnoteReference"/>
          <w:rFonts w:cs="Times New Roman"/>
        </w:rPr>
        <w:footnoteReference w:id="18"/>
      </w:r>
      <w:r w:rsidR="000F62A6">
        <w:rPr>
          <w:rFonts w:cs="Times New Roman"/>
        </w:rPr>
        <w:t>.</w:t>
      </w:r>
      <w:r w:rsidR="00390620">
        <w:rPr>
          <w:rFonts w:cs="Times New Roman"/>
        </w:rPr>
        <w:t xml:space="preserve"> </w:t>
      </w:r>
      <w:r w:rsidR="000F62A6">
        <w:rPr>
          <w:rFonts w:cs="Times New Roman"/>
        </w:rPr>
        <w:t>Aboriginal youth face some additional challenges within the justice system</w:t>
      </w:r>
      <w:r w:rsidR="00296032">
        <w:rPr>
          <w:rFonts w:cs="Times New Roman"/>
        </w:rPr>
        <w:t>, including</w:t>
      </w:r>
      <w:r w:rsidR="00BA591A">
        <w:rPr>
          <w:rFonts w:cs="Times New Roman"/>
        </w:rPr>
        <w:t xml:space="preserve"> experiencing racial discrimination by other youth within the institution, participating in programs that may not be sensitive to the effects of colonization or do not reflect Aboriginal values</w:t>
      </w:r>
      <w:r w:rsidR="00296032">
        <w:rPr>
          <w:rFonts w:cs="Times New Roman"/>
        </w:rPr>
        <w:t>,</w:t>
      </w:r>
      <w:r w:rsidR="00BA591A">
        <w:rPr>
          <w:rFonts w:cs="Times New Roman"/>
        </w:rPr>
        <w:t xml:space="preserve"> and,</w:t>
      </w:r>
      <w:r w:rsidR="00296032">
        <w:rPr>
          <w:rFonts w:cs="Times New Roman"/>
        </w:rPr>
        <w:t xml:space="preserve"> for many Aboriginal youth, coping with the cognitive, social, emotional, and behavioural challenges that accompany a diagnosis of </w:t>
      </w:r>
      <w:r w:rsidR="00A8062B">
        <w:rPr>
          <w:rFonts w:cs="Times New Roman"/>
        </w:rPr>
        <w:t>Fetal Alcohol Spectrum Disorder FASD (FASD)</w:t>
      </w:r>
      <w:r w:rsidR="00A8062B">
        <w:rPr>
          <w:rStyle w:val="FootnoteReference"/>
          <w:rFonts w:cs="Times New Roman"/>
        </w:rPr>
        <w:footnoteReference w:id="19"/>
      </w:r>
      <w:r w:rsidR="00BA591A">
        <w:rPr>
          <w:rFonts w:cs="Times New Roman"/>
        </w:rPr>
        <w:t>.</w:t>
      </w:r>
      <w:r w:rsidR="00296032">
        <w:rPr>
          <w:rFonts w:cs="Times New Roman"/>
        </w:rPr>
        <w:t xml:space="preserve"> </w:t>
      </w:r>
      <w:r w:rsidR="00832CA0">
        <w:rPr>
          <w:rFonts w:cs="Times New Roman"/>
        </w:rPr>
        <w:t xml:space="preserve"> </w:t>
      </w:r>
      <w:r w:rsidR="00BA591A">
        <w:rPr>
          <w:rFonts w:cs="Times New Roman"/>
        </w:rPr>
        <w:t>P</w:t>
      </w:r>
      <w:r w:rsidR="00832CA0">
        <w:rPr>
          <w:rFonts w:cs="Times New Roman"/>
        </w:rPr>
        <w:t xml:space="preserve">rograms that are not </w:t>
      </w:r>
      <w:r w:rsidR="00832CA0">
        <w:rPr>
          <w:rFonts w:cs="Times New Roman"/>
        </w:rPr>
        <w:lastRenderedPageBreak/>
        <w:t xml:space="preserve">sensitive to issues of colonization, residential schools and the legacy of intergenerational trauma (McCormick, 2000; </w:t>
      </w:r>
      <w:proofErr w:type="spellStart"/>
      <w:r w:rsidR="00832CA0">
        <w:rPr>
          <w:rFonts w:cs="Times New Roman"/>
        </w:rPr>
        <w:t>McCaslin</w:t>
      </w:r>
      <w:proofErr w:type="spellEnd"/>
      <w:r w:rsidR="00832CA0">
        <w:rPr>
          <w:rFonts w:cs="Times New Roman"/>
        </w:rPr>
        <w:t xml:space="preserve"> &amp; Boyer, 2009)</w:t>
      </w:r>
      <w:r w:rsidR="00BA591A">
        <w:rPr>
          <w:rFonts w:cs="Times New Roman"/>
        </w:rPr>
        <w:t xml:space="preserve">, </w:t>
      </w:r>
      <w:r w:rsidR="003809C0">
        <w:rPr>
          <w:rFonts w:cs="Times New Roman"/>
        </w:rPr>
        <w:t>or treatment</w:t>
      </w:r>
      <w:r w:rsidR="00BA591A">
        <w:rPr>
          <w:rFonts w:cs="Times New Roman"/>
        </w:rPr>
        <w:t xml:space="preserve"> programs that </w:t>
      </w:r>
      <w:r w:rsidR="003809C0">
        <w:rPr>
          <w:rFonts w:cs="Times New Roman"/>
        </w:rPr>
        <w:t xml:space="preserve">are not appropriately tailored to the development level and functioning of youth with FASD (McLachlan, </w:t>
      </w:r>
      <w:proofErr w:type="spellStart"/>
      <w:r w:rsidR="003809C0">
        <w:rPr>
          <w:rFonts w:cs="Times New Roman"/>
        </w:rPr>
        <w:t>Wyper</w:t>
      </w:r>
      <w:proofErr w:type="spellEnd"/>
      <w:r w:rsidR="003809C0">
        <w:rPr>
          <w:rFonts w:cs="Times New Roman"/>
        </w:rPr>
        <w:t xml:space="preserve"> &amp; </w:t>
      </w:r>
      <w:proofErr w:type="spellStart"/>
      <w:r w:rsidR="003809C0">
        <w:rPr>
          <w:rFonts w:cs="Times New Roman"/>
        </w:rPr>
        <w:t>Pooley</w:t>
      </w:r>
      <w:proofErr w:type="spellEnd"/>
      <w:r w:rsidR="003809C0">
        <w:rPr>
          <w:rFonts w:cs="Times New Roman"/>
        </w:rPr>
        <w:t xml:space="preserve">, </w:t>
      </w:r>
      <w:proofErr w:type="spellStart"/>
      <w:r w:rsidR="003809C0">
        <w:rPr>
          <w:rFonts w:cs="Times New Roman"/>
        </w:rPr>
        <w:t>n.d</w:t>
      </w:r>
      <w:proofErr w:type="spellEnd"/>
      <w:r w:rsidR="003809C0">
        <w:rPr>
          <w:rFonts w:cs="Times New Roman"/>
        </w:rPr>
        <w:t>.)</w:t>
      </w:r>
      <w:r w:rsidR="00BA591A">
        <w:t xml:space="preserve"> </w:t>
      </w:r>
      <w:r w:rsidR="00BA591A">
        <w:rPr>
          <w:rFonts w:cs="Times New Roman"/>
        </w:rPr>
        <w:t>could be more harmful than helpful to Aboriginal youth</w:t>
      </w:r>
      <w:r w:rsidR="00832CA0">
        <w:rPr>
          <w:rFonts w:cs="Times New Roman"/>
        </w:rPr>
        <w:t xml:space="preserve">. </w:t>
      </w:r>
    </w:p>
    <w:p w:rsidR="003809C0" w:rsidRDefault="003809C0" w:rsidP="009B3A63">
      <w:pPr>
        <w:autoSpaceDE w:val="0"/>
        <w:autoSpaceDN w:val="0"/>
        <w:adjustRightInd w:val="0"/>
        <w:spacing w:after="0" w:line="240" w:lineRule="auto"/>
        <w:rPr>
          <w:rFonts w:cs="Times New Roman"/>
        </w:rPr>
      </w:pPr>
    </w:p>
    <w:p w:rsidR="003809C0" w:rsidRDefault="00725ED2" w:rsidP="009B3A63">
      <w:pPr>
        <w:autoSpaceDE w:val="0"/>
        <w:autoSpaceDN w:val="0"/>
        <w:adjustRightInd w:val="0"/>
        <w:spacing w:after="0" w:line="240" w:lineRule="auto"/>
        <w:rPr>
          <w:rFonts w:cs="Times New Roman"/>
        </w:rPr>
      </w:pPr>
      <w:r>
        <w:rPr>
          <w:rFonts w:cs="Times New Roman"/>
        </w:rPr>
        <w:t>McCormick (2000) notes that mainstream alcohol/substance abuse treatment approaches have resulted in minimal success, at best, for Aboriginal people, mainly because Aboriginal people either do not use the services, and when they do use such services, they tend to drop out after the first session. The reasons most often cited for not engaging with mainstream treatment programs include (1) a misalignment between Aboriginal people and mainstream treatment providers vis-à-vis value orientations and beliefs about the causes of and solutions for substance abuse</w:t>
      </w:r>
      <w:r w:rsidR="00214F57">
        <w:rPr>
          <w:rFonts w:cs="Times New Roman"/>
        </w:rPr>
        <w:t xml:space="preserve"> (McCormick, 1996, cited in McCormick, 2000); and (2) cultural barriers to treatment such as experiencing embarrassment or shame about admitting to having problems with substance use and a reticence about freely giving trust to a new therapist (Wing &amp; Crow, 1995, cited in McCormick , 2000).</w:t>
      </w:r>
    </w:p>
    <w:p w:rsidR="003809C0" w:rsidRDefault="003809C0" w:rsidP="009B3A63">
      <w:pPr>
        <w:autoSpaceDE w:val="0"/>
        <w:autoSpaceDN w:val="0"/>
        <w:adjustRightInd w:val="0"/>
        <w:spacing w:after="0" w:line="240" w:lineRule="auto"/>
        <w:rPr>
          <w:rFonts w:cs="Times New Roman"/>
        </w:rPr>
      </w:pPr>
    </w:p>
    <w:p w:rsidR="00214F57" w:rsidRDefault="00444944" w:rsidP="009B3A63">
      <w:pPr>
        <w:autoSpaceDE w:val="0"/>
        <w:autoSpaceDN w:val="0"/>
        <w:adjustRightInd w:val="0"/>
        <w:spacing w:after="0" w:line="240" w:lineRule="auto"/>
        <w:rPr>
          <w:rFonts w:cs="Times New Roman"/>
        </w:rPr>
      </w:pPr>
      <w:r>
        <w:rPr>
          <w:rFonts w:cs="Times New Roman"/>
        </w:rPr>
        <w:t>According to McCormick (2000), a</w:t>
      </w:r>
      <w:r w:rsidR="00214F57">
        <w:rPr>
          <w:rFonts w:cs="Times New Roman"/>
        </w:rPr>
        <w:t>n increasing number of Aboriginal scholars and healers attribute the prevalence of mental health issues and substance disor</w:t>
      </w:r>
      <w:r w:rsidR="00891586">
        <w:rPr>
          <w:rFonts w:cs="Times New Roman"/>
        </w:rPr>
        <w:t>ders among Aboriginal people and communities to the traumatic disconnection from their traditional cultural values and practices due to forced assimilation policies and practices imposed on them by the dominant culture</w:t>
      </w:r>
      <w:r>
        <w:rPr>
          <w:rFonts w:cs="Times New Roman"/>
        </w:rPr>
        <w:t>. It follows,</w:t>
      </w:r>
      <w:r w:rsidR="00891586">
        <w:rPr>
          <w:rFonts w:cs="Times New Roman"/>
        </w:rPr>
        <w:t xml:space="preserve"> therefore, </w:t>
      </w:r>
      <w:r>
        <w:rPr>
          <w:rFonts w:cs="Times New Roman"/>
        </w:rPr>
        <w:t>that reconnecting and re-engaging with traditional practices and values is the appropriate healing/treatment strategy (</w:t>
      </w:r>
      <w:proofErr w:type="spellStart"/>
      <w:r w:rsidR="003F0906">
        <w:rPr>
          <w:rFonts w:cs="Times New Roman"/>
        </w:rPr>
        <w:t>Coyhis</w:t>
      </w:r>
      <w:proofErr w:type="spellEnd"/>
      <w:r w:rsidR="003F0906">
        <w:rPr>
          <w:rFonts w:cs="Times New Roman"/>
        </w:rPr>
        <w:t xml:space="preserve"> &amp; White, 2002; </w:t>
      </w:r>
      <w:r>
        <w:rPr>
          <w:rFonts w:cs="Times New Roman"/>
        </w:rPr>
        <w:t xml:space="preserve">McCormick, 2000; Gone, 2012; Rowan, Poole, et al, 2004). </w:t>
      </w:r>
    </w:p>
    <w:p w:rsidR="00214F57" w:rsidRDefault="00214F57" w:rsidP="009B3A63">
      <w:pPr>
        <w:autoSpaceDE w:val="0"/>
        <w:autoSpaceDN w:val="0"/>
        <w:adjustRightInd w:val="0"/>
        <w:spacing w:after="0" w:line="240" w:lineRule="auto"/>
        <w:rPr>
          <w:rFonts w:cs="Times New Roman"/>
        </w:rPr>
      </w:pPr>
    </w:p>
    <w:p w:rsidR="000453C4" w:rsidRDefault="000453C4" w:rsidP="009B3A63">
      <w:pPr>
        <w:autoSpaceDE w:val="0"/>
        <w:autoSpaceDN w:val="0"/>
        <w:adjustRightInd w:val="0"/>
        <w:spacing w:after="0" w:line="240" w:lineRule="auto"/>
        <w:rPr>
          <w:rFonts w:cs="Times New Roman"/>
        </w:rPr>
      </w:pPr>
      <w:r>
        <w:rPr>
          <w:rFonts w:cs="Times New Roman"/>
        </w:rPr>
        <w:t>Unlike Western approaches to treating substance use disorders that ar</w:t>
      </w:r>
      <w:r w:rsidR="00323627">
        <w:rPr>
          <w:rFonts w:cs="Times New Roman"/>
        </w:rPr>
        <w:t>e grounded in an individualistic, biomedical framework, an Aboriginal approach to healing takes a holistic view of wellness, is collectivist in its orientation (i.e., it sees family and community and traditional activities as a significant source of meaning) and is grounded in a spiritual fra</w:t>
      </w:r>
      <w:r w:rsidR="00BE0A1E">
        <w:rPr>
          <w:rFonts w:cs="Times New Roman"/>
        </w:rPr>
        <w:t xml:space="preserve">mework that emphasizes attaining and maintaining harmonious connections between the human spirit and the rest of creation—family, community, culture, the natural world, and the spiritual world (McCormick, 2000, p. </w:t>
      </w:r>
      <w:r w:rsidR="00307340">
        <w:rPr>
          <w:rFonts w:cs="Times New Roman"/>
        </w:rPr>
        <w:t xml:space="preserve">27; Rowan, Poole, et al, 2014; </w:t>
      </w:r>
      <w:proofErr w:type="spellStart"/>
      <w:r w:rsidR="00307340">
        <w:rPr>
          <w:rFonts w:cs="Times New Roman"/>
        </w:rPr>
        <w:t>Comeau</w:t>
      </w:r>
      <w:proofErr w:type="spellEnd"/>
      <w:r w:rsidR="00307340">
        <w:rPr>
          <w:rFonts w:cs="Times New Roman"/>
        </w:rPr>
        <w:t xml:space="preserve">, Stewart, </w:t>
      </w:r>
      <w:proofErr w:type="spellStart"/>
      <w:r w:rsidR="00307340">
        <w:rPr>
          <w:rFonts w:cs="Times New Roman"/>
        </w:rPr>
        <w:t>Mushquash</w:t>
      </w:r>
      <w:proofErr w:type="spellEnd"/>
      <w:r w:rsidR="00307340">
        <w:rPr>
          <w:rFonts w:cs="Times New Roman"/>
        </w:rPr>
        <w:t xml:space="preserve">, </w:t>
      </w:r>
      <w:proofErr w:type="spellStart"/>
      <w:r w:rsidR="00307340">
        <w:rPr>
          <w:rFonts w:cs="Times New Roman"/>
        </w:rPr>
        <w:t>Wojcik</w:t>
      </w:r>
      <w:proofErr w:type="spellEnd"/>
      <w:r w:rsidR="00307340">
        <w:rPr>
          <w:rFonts w:cs="Times New Roman"/>
        </w:rPr>
        <w:t>, Bartlett, Marshall, Young &amp; Stevens, 2005; Dell, Dell &amp; Hopkins, 2005).</w:t>
      </w:r>
    </w:p>
    <w:p w:rsidR="00307340" w:rsidRDefault="00307340" w:rsidP="009B3A63">
      <w:pPr>
        <w:autoSpaceDE w:val="0"/>
        <w:autoSpaceDN w:val="0"/>
        <w:adjustRightInd w:val="0"/>
        <w:spacing w:after="0" w:line="240" w:lineRule="auto"/>
        <w:rPr>
          <w:rFonts w:cs="Times New Roman"/>
        </w:rPr>
      </w:pPr>
    </w:p>
    <w:p w:rsidR="001D390E" w:rsidRDefault="00307340" w:rsidP="009B3A63">
      <w:pPr>
        <w:autoSpaceDE w:val="0"/>
        <w:autoSpaceDN w:val="0"/>
        <w:adjustRightInd w:val="0"/>
        <w:spacing w:after="0" w:line="240" w:lineRule="auto"/>
        <w:rPr>
          <w:rFonts w:cs="Times New Roman"/>
        </w:rPr>
      </w:pPr>
      <w:r>
        <w:rPr>
          <w:rFonts w:cs="Times New Roman"/>
        </w:rPr>
        <w:t>T</w:t>
      </w:r>
      <w:r w:rsidR="002B35CA">
        <w:rPr>
          <w:rFonts w:cs="Times New Roman"/>
        </w:rPr>
        <w:t xml:space="preserve">here is some evidence to suggest that connecting with cultural practices and customs acts as protective factor for Aboriginal youth: for example, data from the BC </w:t>
      </w:r>
      <w:r w:rsidR="002B35CA" w:rsidRPr="002B35CA">
        <w:rPr>
          <w:rFonts w:cs="Times New Roman"/>
          <w:i/>
        </w:rPr>
        <w:t>Adolescent Health Survey</w:t>
      </w:r>
      <w:r w:rsidR="002B35CA">
        <w:rPr>
          <w:rFonts w:cs="Times New Roman"/>
        </w:rPr>
        <w:t xml:space="preserve"> indicate that Aboriginal </w:t>
      </w:r>
      <w:r w:rsidR="00352556">
        <w:rPr>
          <w:rFonts w:cs="Times New Roman"/>
        </w:rPr>
        <w:t>youth</w:t>
      </w:r>
      <w:r w:rsidR="002B35CA">
        <w:rPr>
          <w:rFonts w:cs="Times New Roman"/>
        </w:rPr>
        <w:t xml:space="preserve"> who were learning a First Nations language or otherwise connected with their culture on a regular basis were less likely to use substances</w:t>
      </w:r>
      <w:r w:rsidR="00426E6E">
        <w:rPr>
          <w:rFonts w:cs="Times New Roman"/>
        </w:rPr>
        <w:t xml:space="preserve"> (</w:t>
      </w:r>
      <w:proofErr w:type="spellStart"/>
      <w:r w:rsidR="00426E6E">
        <w:rPr>
          <w:rFonts w:cs="Times New Roman"/>
        </w:rPr>
        <w:t>Tourand</w:t>
      </w:r>
      <w:proofErr w:type="spellEnd"/>
      <w:r w:rsidR="00426E6E">
        <w:rPr>
          <w:rFonts w:cs="Times New Roman"/>
        </w:rPr>
        <w:t>, Smith, et al, 2016).</w:t>
      </w:r>
      <w:r w:rsidR="002B35CA">
        <w:rPr>
          <w:rFonts w:cs="Times New Roman"/>
        </w:rPr>
        <w:t xml:space="preserve"> </w:t>
      </w:r>
      <w:r>
        <w:rPr>
          <w:rFonts w:cs="Times New Roman"/>
        </w:rPr>
        <w:t xml:space="preserve">Furthermore, </w:t>
      </w:r>
      <w:proofErr w:type="spellStart"/>
      <w:r>
        <w:rPr>
          <w:rFonts w:cs="Times New Roman"/>
        </w:rPr>
        <w:t>Comeau</w:t>
      </w:r>
      <w:proofErr w:type="spellEnd"/>
      <w:r>
        <w:rPr>
          <w:rFonts w:cs="Times New Roman"/>
        </w:rPr>
        <w:t xml:space="preserve"> et al (2005) found that developing a culturally relevant, early intervention program </w:t>
      </w:r>
      <w:r w:rsidR="00291CCA">
        <w:rPr>
          <w:rFonts w:cs="Times New Roman"/>
        </w:rPr>
        <w:t>that revitalized Aboriginal youths’ self-esteem and sense of belonging by focusing on revitalizing their roots—cultivating a sense of pride in their Aboriginal identity, history, culture and language—through creative expression</w:t>
      </w:r>
      <w:r w:rsidR="004D7A7B">
        <w:rPr>
          <w:rFonts w:cs="Times New Roman"/>
        </w:rPr>
        <w:t xml:space="preserve"> was effective in preventing alcohol abuse among </w:t>
      </w:r>
      <w:proofErr w:type="spellStart"/>
      <w:r w:rsidR="004D7A7B">
        <w:rPr>
          <w:rFonts w:cs="Times New Roman"/>
        </w:rPr>
        <w:t>Mi’kmaq</w:t>
      </w:r>
      <w:proofErr w:type="spellEnd"/>
      <w:r w:rsidR="004D7A7B">
        <w:rPr>
          <w:rFonts w:cs="Times New Roman"/>
        </w:rPr>
        <w:t xml:space="preserve"> First Nations youth in Cape Breton. </w:t>
      </w:r>
      <w:r w:rsidR="00291CCA">
        <w:rPr>
          <w:rFonts w:cs="Times New Roman"/>
        </w:rPr>
        <w:t xml:space="preserve"> </w:t>
      </w:r>
      <w:r>
        <w:rPr>
          <w:rFonts w:cs="Times New Roman"/>
        </w:rPr>
        <w:t xml:space="preserve">  </w:t>
      </w:r>
      <w:r w:rsidR="004B24AD">
        <w:rPr>
          <w:rFonts w:cs="Times New Roman"/>
        </w:rPr>
        <w:t xml:space="preserve"> </w:t>
      </w:r>
    </w:p>
    <w:p w:rsidR="001D390E" w:rsidRDefault="001D390E" w:rsidP="009B3A63">
      <w:pPr>
        <w:autoSpaceDE w:val="0"/>
        <w:autoSpaceDN w:val="0"/>
        <w:adjustRightInd w:val="0"/>
        <w:spacing w:after="0" w:line="240" w:lineRule="auto"/>
        <w:rPr>
          <w:rFonts w:cs="Times New Roman"/>
        </w:rPr>
      </w:pPr>
    </w:p>
    <w:p w:rsidR="004D7A7B" w:rsidRDefault="00A62BB5" w:rsidP="009B3A63">
      <w:pPr>
        <w:autoSpaceDE w:val="0"/>
        <w:autoSpaceDN w:val="0"/>
        <w:adjustRightInd w:val="0"/>
        <w:spacing w:after="0" w:line="240" w:lineRule="auto"/>
        <w:rPr>
          <w:rFonts w:cs="Times New Roman"/>
        </w:rPr>
      </w:pPr>
      <w:r>
        <w:rPr>
          <w:rFonts w:cs="Times New Roman"/>
        </w:rPr>
        <w:t>Rowan, Poole, et al (2014) conducted a</w:t>
      </w:r>
      <w:r w:rsidR="004D7A7B">
        <w:rPr>
          <w:rFonts w:cs="Times New Roman"/>
        </w:rPr>
        <w:t xml:space="preserve"> scoping study that reviewed the outcomes and effects of 19 studies on cultural interventions for healing addiction</w:t>
      </w:r>
      <w:r>
        <w:rPr>
          <w:rFonts w:cs="Times New Roman"/>
        </w:rPr>
        <w:t xml:space="preserve">s in Aboriginal people found that in 74% of the studies, participants showed increases in all dimensions of wellness (spiritual, mental, physical, emotional) and a reduction or elimination of substance use problems. Rowan, Poole, et al </w:t>
      </w:r>
      <w:r w:rsidR="002753A2">
        <w:rPr>
          <w:rFonts w:cs="Times New Roman"/>
        </w:rPr>
        <w:t xml:space="preserve">(2014) </w:t>
      </w:r>
      <w:r>
        <w:rPr>
          <w:rFonts w:cs="Times New Roman"/>
        </w:rPr>
        <w:t xml:space="preserve">concluded that cultural interventions appear to be a promising practice for supporting Aboriginal people in healing from substance use disorders; however, they also note that some of the studies had some design problems that made it difficult to assess </w:t>
      </w:r>
      <w:r w:rsidR="002753A2">
        <w:rPr>
          <w:rFonts w:cs="Times New Roman"/>
        </w:rPr>
        <w:t xml:space="preserve">which element of the intervention was responsible for </w:t>
      </w:r>
      <w:r w:rsidR="002753A2">
        <w:rPr>
          <w:rFonts w:cs="Times New Roman"/>
        </w:rPr>
        <w:lastRenderedPageBreak/>
        <w:t>bringing about change. Furthermore, very few of the studies were specifically focused on youth, so caution in applying the results to youth with substance use difficulties.</w:t>
      </w:r>
    </w:p>
    <w:p w:rsidR="004D7A7B" w:rsidRDefault="004D7A7B" w:rsidP="009B3A63">
      <w:pPr>
        <w:autoSpaceDE w:val="0"/>
        <w:autoSpaceDN w:val="0"/>
        <w:adjustRightInd w:val="0"/>
        <w:spacing w:after="0" w:line="240" w:lineRule="auto"/>
        <w:rPr>
          <w:rFonts w:cs="Times New Roman"/>
        </w:rPr>
      </w:pPr>
    </w:p>
    <w:p w:rsidR="00250907" w:rsidRDefault="002753A2" w:rsidP="00426E6E">
      <w:pPr>
        <w:autoSpaceDE w:val="0"/>
        <w:autoSpaceDN w:val="0"/>
        <w:adjustRightInd w:val="0"/>
        <w:spacing w:after="0" w:line="240" w:lineRule="auto"/>
        <w:rPr>
          <w:rFonts w:cs="Times New Roman"/>
        </w:rPr>
      </w:pPr>
      <w:r>
        <w:rPr>
          <w:rFonts w:cs="Times New Roman"/>
        </w:rPr>
        <w:t>One youth-specific program that was included in the Rowan, Poole, et al (2014) scoping study is a</w:t>
      </w:r>
      <w:r w:rsidR="00426E6E" w:rsidRPr="00C8570F">
        <w:rPr>
          <w:rFonts w:cs="Times New Roman"/>
        </w:rPr>
        <w:t xml:space="preserve"> </w:t>
      </w:r>
      <w:r>
        <w:rPr>
          <w:rFonts w:cs="Times New Roman"/>
        </w:rPr>
        <w:t>national program</w:t>
      </w:r>
      <w:r w:rsidR="008E0B3D">
        <w:rPr>
          <w:rFonts w:cs="Times New Roman"/>
        </w:rPr>
        <w:t>—the National Native Youth Solvent Abuse (NNYSA) program—that was</w:t>
      </w:r>
      <w:r>
        <w:rPr>
          <w:rFonts w:cs="Times New Roman"/>
        </w:rPr>
        <w:t xml:space="preserve"> developed specifically </w:t>
      </w:r>
      <w:r w:rsidR="008E0B3D">
        <w:rPr>
          <w:rFonts w:cs="Times New Roman"/>
        </w:rPr>
        <w:t xml:space="preserve">in response to </w:t>
      </w:r>
      <w:r>
        <w:rPr>
          <w:rFonts w:cs="Times New Roman"/>
        </w:rPr>
        <w:t>for Aboriginal youth who are addicted to inhalants</w:t>
      </w:r>
      <w:r w:rsidR="008E0B3D">
        <w:rPr>
          <w:rFonts w:cs="Times New Roman"/>
        </w:rPr>
        <w:t xml:space="preserve"> and need more intensive treatment </w:t>
      </w:r>
      <w:r w:rsidR="0099491A">
        <w:rPr>
          <w:rFonts w:cs="Times New Roman"/>
        </w:rPr>
        <w:t xml:space="preserve">in a residential treatment centre (Dell et al, 2005. The program has nine centres (and a total of 112 treatment beds) across the country and offers culturally appropriate, therapeutic treatment along with community </w:t>
      </w:r>
      <w:r w:rsidR="00250907">
        <w:rPr>
          <w:rFonts w:cs="Times New Roman"/>
        </w:rPr>
        <w:t xml:space="preserve">intervention programming. Dell and Hopkins (2002, cited in Erickson &amp; Butters, 2005) explain that </w:t>
      </w:r>
      <w:r w:rsidR="00250907" w:rsidRPr="00C8570F">
        <w:rPr>
          <w:rFonts w:cs="Times New Roman"/>
        </w:rPr>
        <w:t>First Nations youth</w:t>
      </w:r>
      <w:r w:rsidR="00250907">
        <w:rPr>
          <w:rFonts w:cs="Times New Roman"/>
        </w:rPr>
        <w:t xml:space="preserve"> </w:t>
      </w:r>
      <w:r w:rsidR="00250907" w:rsidRPr="00C8570F">
        <w:rPr>
          <w:rFonts w:cs="Times New Roman"/>
        </w:rPr>
        <w:t>clients can be admitted wherever there is a bed, not necessarily in their region</w:t>
      </w:r>
      <w:r w:rsidR="00250907">
        <w:rPr>
          <w:rFonts w:cs="Times New Roman"/>
        </w:rPr>
        <w:t>, and</w:t>
      </w:r>
      <w:r w:rsidR="00250907" w:rsidRPr="00C8570F">
        <w:rPr>
          <w:rFonts w:cs="Times New Roman"/>
        </w:rPr>
        <w:t xml:space="preserve"> travel is paid</w:t>
      </w:r>
      <w:r w:rsidR="00250907">
        <w:rPr>
          <w:rFonts w:cs="Times New Roman"/>
        </w:rPr>
        <w:t xml:space="preserve"> </w:t>
      </w:r>
      <w:r w:rsidR="00250907" w:rsidRPr="00C8570F">
        <w:rPr>
          <w:rFonts w:cs="Times New Roman"/>
        </w:rPr>
        <w:t>for the youth and for family visits.</w:t>
      </w:r>
      <w:r w:rsidR="00250907">
        <w:rPr>
          <w:rFonts w:cs="Times New Roman"/>
        </w:rPr>
        <w:t xml:space="preserve"> Erickson and Butters (2005) note that a</w:t>
      </w:r>
      <w:r w:rsidR="00250907" w:rsidRPr="00C8570F">
        <w:rPr>
          <w:rFonts w:cs="Times New Roman"/>
        </w:rPr>
        <w:t>lthough these centers are not specifically identified</w:t>
      </w:r>
      <w:r w:rsidR="00250907">
        <w:rPr>
          <w:rFonts w:cs="Times New Roman"/>
        </w:rPr>
        <w:t xml:space="preserve"> </w:t>
      </w:r>
      <w:r w:rsidR="00250907" w:rsidRPr="00C8570F">
        <w:rPr>
          <w:rFonts w:cs="Times New Roman"/>
        </w:rPr>
        <w:t>as young offender facilities, 47% in 1999–2000 and 41.5% in 2000–2001 of the national</w:t>
      </w:r>
      <w:r w:rsidR="00250907">
        <w:rPr>
          <w:rFonts w:cs="Times New Roman"/>
        </w:rPr>
        <w:t xml:space="preserve"> </w:t>
      </w:r>
      <w:r w:rsidR="00250907" w:rsidRPr="00C8570F">
        <w:rPr>
          <w:rFonts w:cs="Times New Roman"/>
        </w:rPr>
        <w:t>clientele had been involved with the youth justice system, and justice system involvement is</w:t>
      </w:r>
      <w:r w:rsidR="00250907">
        <w:rPr>
          <w:rFonts w:cs="Times New Roman"/>
        </w:rPr>
        <w:t xml:space="preserve"> </w:t>
      </w:r>
      <w:r w:rsidR="00250907" w:rsidRPr="00C8570F">
        <w:rPr>
          <w:rFonts w:cs="Times New Roman"/>
        </w:rPr>
        <w:t>included as</w:t>
      </w:r>
      <w:r w:rsidR="00250907">
        <w:rPr>
          <w:rFonts w:cs="Times New Roman"/>
        </w:rPr>
        <w:t xml:space="preserve"> one of their outcome measures</w:t>
      </w:r>
      <w:r w:rsidR="00250907" w:rsidRPr="00C8570F">
        <w:rPr>
          <w:rFonts w:cs="Times New Roman"/>
        </w:rPr>
        <w:t>.</w:t>
      </w:r>
      <w:r w:rsidR="00250907">
        <w:rPr>
          <w:rFonts w:cs="Times New Roman"/>
        </w:rPr>
        <w:t xml:space="preserve"> </w:t>
      </w:r>
    </w:p>
    <w:p w:rsidR="00250907" w:rsidRDefault="00250907" w:rsidP="00426E6E">
      <w:pPr>
        <w:autoSpaceDE w:val="0"/>
        <w:autoSpaceDN w:val="0"/>
        <w:adjustRightInd w:val="0"/>
        <w:spacing w:after="0" w:line="240" w:lineRule="auto"/>
        <w:rPr>
          <w:rFonts w:cs="Times New Roman"/>
        </w:rPr>
      </w:pPr>
    </w:p>
    <w:p w:rsidR="00250907" w:rsidRDefault="00250907" w:rsidP="00426E6E">
      <w:pPr>
        <w:autoSpaceDE w:val="0"/>
        <w:autoSpaceDN w:val="0"/>
        <w:adjustRightInd w:val="0"/>
        <w:spacing w:after="0" w:line="240" w:lineRule="auto"/>
        <w:rPr>
          <w:rFonts w:cs="Times New Roman"/>
        </w:rPr>
      </w:pPr>
      <w:r>
        <w:rPr>
          <w:rFonts w:cs="Times New Roman"/>
        </w:rPr>
        <w:t>In a subsequent publication by Dell, Dell and Hopkins (2005), the authors discuss the program in more detail, particularly the fundamental role that a holistic conception of “resilience” and “spirit” plays in the National Native Youth Solvent Addiction (NNYSA) program’s traditional teachings program. Dell et al (2005) also discuss the importance of getting the family and community involved in a youth’s recovery process and ensuring that after-care and follow-up are in place in order to help reduce the risk of relapse. Dell et al report</w:t>
      </w:r>
      <w:r w:rsidR="00265CD2">
        <w:rPr>
          <w:rFonts w:cs="Times New Roman"/>
        </w:rPr>
        <w:t xml:space="preserve"> (2005)</w:t>
      </w:r>
      <w:r>
        <w:rPr>
          <w:rFonts w:cs="Times New Roman"/>
        </w:rPr>
        <w:t xml:space="preserve"> that after implementing a policy</w:t>
      </w:r>
      <w:r w:rsidR="00265CD2">
        <w:rPr>
          <w:rFonts w:cs="Times New Roman"/>
        </w:rPr>
        <w:t xml:space="preserve"> that requires </w:t>
      </w:r>
      <w:r>
        <w:rPr>
          <w:rFonts w:cs="Times New Roman"/>
        </w:rPr>
        <w:t xml:space="preserve">primary caregivers to participate in the family portion of the treatment program, </w:t>
      </w:r>
      <w:r w:rsidR="00265CD2">
        <w:rPr>
          <w:rFonts w:cs="Times New Roman"/>
        </w:rPr>
        <w:t>rates of family participation increased from 73% to an average of 97%, and by 2003, completion rates increased from</w:t>
      </w:r>
      <w:r>
        <w:rPr>
          <w:rFonts w:cs="Times New Roman"/>
        </w:rPr>
        <w:t xml:space="preserve"> </w:t>
      </w:r>
      <w:r w:rsidR="00265CD2">
        <w:rPr>
          <w:rFonts w:cs="Times New Roman"/>
        </w:rPr>
        <w:t xml:space="preserve">73% to 80%. </w:t>
      </w:r>
    </w:p>
    <w:p w:rsidR="00265CD2" w:rsidRDefault="00265CD2" w:rsidP="00426E6E">
      <w:pPr>
        <w:autoSpaceDE w:val="0"/>
        <w:autoSpaceDN w:val="0"/>
        <w:adjustRightInd w:val="0"/>
        <w:spacing w:after="0" w:line="240" w:lineRule="auto"/>
        <w:rPr>
          <w:rFonts w:cs="Times New Roman"/>
        </w:rPr>
      </w:pPr>
    </w:p>
    <w:p w:rsidR="00265CD2" w:rsidRDefault="00217C47" w:rsidP="00426E6E">
      <w:pPr>
        <w:autoSpaceDE w:val="0"/>
        <w:autoSpaceDN w:val="0"/>
        <w:adjustRightInd w:val="0"/>
        <w:spacing w:after="0" w:line="240" w:lineRule="auto"/>
        <w:rPr>
          <w:rFonts w:cs="Times New Roman"/>
        </w:rPr>
      </w:pPr>
      <w:r>
        <w:rPr>
          <w:rFonts w:cs="Times New Roman"/>
        </w:rPr>
        <w:t>In a</w:t>
      </w:r>
      <w:r w:rsidR="00265CD2">
        <w:rPr>
          <w:rFonts w:cs="Times New Roman"/>
        </w:rPr>
        <w:t xml:space="preserve"> later publication</w:t>
      </w:r>
      <w:r>
        <w:rPr>
          <w:rFonts w:cs="Times New Roman"/>
        </w:rPr>
        <w:t xml:space="preserve"> (2011),</w:t>
      </w:r>
      <w:r w:rsidR="00265CD2">
        <w:rPr>
          <w:rFonts w:cs="Times New Roman"/>
        </w:rPr>
        <w:t xml:space="preserve"> Dell and Hopkins</w:t>
      </w:r>
      <w:r>
        <w:rPr>
          <w:rFonts w:cs="Times New Roman"/>
        </w:rPr>
        <w:t xml:space="preserve"> </w:t>
      </w:r>
      <w:r w:rsidR="00265CD2">
        <w:rPr>
          <w:rFonts w:cs="Times New Roman"/>
        </w:rPr>
        <w:t xml:space="preserve">report that 50% of youths who completed the program </w:t>
      </w:r>
      <w:r w:rsidR="008E1567">
        <w:rPr>
          <w:rFonts w:cs="Times New Roman"/>
        </w:rPr>
        <w:t>stated they were maintaining abstinent lifestyles at the three-month follow-up and 74% of completers reported abstinence at the six-month follow-up; 54% of youth had returned to school by the three-month follow-up and 84% returned to school six months after they had completed the program; furthermore, 81% of youth had had no criminal justice involvement</w:t>
      </w:r>
      <w:r w:rsidR="00265CD2">
        <w:rPr>
          <w:rFonts w:cs="Times New Roman"/>
        </w:rPr>
        <w:t xml:space="preserve"> (2011, cited in Zhou and </w:t>
      </w:r>
      <w:proofErr w:type="spellStart"/>
      <w:r w:rsidR="00265CD2">
        <w:rPr>
          <w:rFonts w:cs="Times New Roman"/>
        </w:rPr>
        <w:t>Reider</w:t>
      </w:r>
      <w:proofErr w:type="spellEnd"/>
      <w:r w:rsidR="00265CD2">
        <w:rPr>
          <w:rFonts w:cs="Times New Roman"/>
        </w:rPr>
        <w:t>, 2012)</w:t>
      </w:r>
      <w:r>
        <w:rPr>
          <w:rFonts w:cs="Times New Roman"/>
        </w:rPr>
        <w:t>.</w:t>
      </w:r>
    </w:p>
    <w:p w:rsidR="00250907" w:rsidRDefault="00250907" w:rsidP="00426E6E">
      <w:pPr>
        <w:autoSpaceDE w:val="0"/>
        <w:autoSpaceDN w:val="0"/>
        <w:adjustRightInd w:val="0"/>
        <w:spacing w:after="0" w:line="240" w:lineRule="auto"/>
        <w:rPr>
          <w:rFonts w:cs="Times New Roman"/>
        </w:rPr>
      </w:pPr>
    </w:p>
    <w:p w:rsidR="00426E6E" w:rsidRDefault="008E1567" w:rsidP="00426E6E">
      <w:pPr>
        <w:autoSpaceDE w:val="0"/>
        <w:autoSpaceDN w:val="0"/>
        <w:adjustRightInd w:val="0"/>
        <w:spacing w:after="0" w:line="240" w:lineRule="auto"/>
        <w:rPr>
          <w:rFonts w:cs="Times New Roman"/>
        </w:rPr>
      </w:pPr>
      <w:r>
        <w:rPr>
          <w:rFonts w:cs="Times New Roman"/>
        </w:rPr>
        <w:t>Another example of</w:t>
      </w:r>
      <w:r w:rsidR="00081C47">
        <w:rPr>
          <w:rFonts w:cs="Times New Roman"/>
        </w:rPr>
        <w:t xml:space="preserve"> an</w:t>
      </w:r>
      <w:r w:rsidR="00426E6E" w:rsidRPr="00C8570F">
        <w:rPr>
          <w:rFonts w:cs="Times New Roman"/>
        </w:rPr>
        <w:t xml:space="preserve"> innovative</w:t>
      </w:r>
      <w:r>
        <w:rPr>
          <w:rFonts w:cs="Times New Roman"/>
        </w:rPr>
        <w:t>, culturally relevant</w:t>
      </w:r>
      <w:r w:rsidR="00081C47">
        <w:rPr>
          <w:rFonts w:cs="Times New Roman"/>
        </w:rPr>
        <w:t xml:space="preserve"> program</w:t>
      </w:r>
      <w:r w:rsidR="00396DA4">
        <w:rPr>
          <w:rFonts w:cs="Times New Roman"/>
        </w:rPr>
        <w:t xml:space="preserve"> for Aboriginal youth in need of substance use treatment is the</w:t>
      </w:r>
      <w:r w:rsidR="00081C47">
        <w:rPr>
          <w:rFonts w:cs="Times New Roman"/>
        </w:rPr>
        <w:t xml:space="preserve"> </w:t>
      </w:r>
      <w:proofErr w:type="spellStart"/>
      <w:r w:rsidR="00426E6E" w:rsidRPr="00C8570F">
        <w:rPr>
          <w:rFonts w:cs="Times New Roman"/>
        </w:rPr>
        <w:t>Punky</w:t>
      </w:r>
      <w:proofErr w:type="spellEnd"/>
      <w:r w:rsidR="00426E6E" w:rsidRPr="00C8570F">
        <w:rPr>
          <w:rFonts w:cs="Times New Roman"/>
        </w:rPr>
        <w:t xml:space="preserve"> Lake program</w:t>
      </w:r>
      <w:r w:rsidR="00396DA4">
        <w:rPr>
          <w:rFonts w:cs="Times New Roman"/>
        </w:rPr>
        <w:t xml:space="preserve">, in British Columbia. </w:t>
      </w:r>
      <w:r w:rsidR="00081C47">
        <w:rPr>
          <w:rFonts w:cs="Times New Roman"/>
        </w:rPr>
        <w:t>Ac</w:t>
      </w:r>
      <w:r w:rsidR="00396DA4">
        <w:rPr>
          <w:rFonts w:cs="Times New Roman"/>
        </w:rPr>
        <w:t>cording to Erickson and Butters</w:t>
      </w:r>
      <w:r w:rsidR="00081C47">
        <w:rPr>
          <w:rFonts w:cs="Times New Roman"/>
        </w:rPr>
        <w:t xml:space="preserve"> (2005), t</w:t>
      </w:r>
      <w:r w:rsidR="00426E6E" w:rsidRPr="00C8570F">
        <w:rPr>
          <w:rFonts w:cs="Times New Roman"/>
        </w:rPr>
        <w:t>he program is designed to serve two groups of young people</w:t>
      </w:r>
      <w:r w:rsidR="00081C47">
        <w:rPr>
          <w:rFonts w:cs="Times New Roman"/>
        </w:rPr>
        <w:t>—</w:t>
      </w:r>
      <w:r w:rsidR="007C73B9">
        <w:rPr>
          <w:rFonts w:cs="Times New Roman"/>
        </w:rPr>
        <w:t>youth at high risk for offending, and adjudicated young offenders</w:t>
      </w:r>
      <w:r w:rsidR="00426E6E" w:rsidRPr="00C8570F">
        <w:rPr>
          <w:rFonts w:cs="Times New Roman"/>
        </w:rPr>
        <w:t>.</w:t>
      </w:r>
      <w:r w:rsidR="007C73B9">
        <w:rPr>
          <w:rFonts w:cs="Times New Roman"/>
        </w:rPr>
        <w:t xml:space="preserve"> At risk youth staying at the camp are engaged in various activities that foster self-esteem and teach responsibility. According to the Department of Justice (2000; cited in Erickson &amp; Butters, 2005), the camp also </w:t>
      </w:r>
      <w:r w:rsidR="00426E6E" w:rsidRPr="00C8570F">
        <w:rPr>
          <w:rFonts w:cs="Times New Roman"/>
        </w:rPr>
        <w:t>runs a 4-month program specifically targeting young offenders that incorporates</w:t>
      </w:r>
      <w:r w:rsidR="007C73B9">
        <w:rPr>
          <w:rFonts w:cs="Times New Roman"/>
        </w:rPr>
        <w:t xml:space="preserve"> </w:t>
      </w:r>
      <w:r w:rsidR="00426E6E" w:rsidRPr="00C8570F">
        <w:rPr>
          <w:rFonts w:cs="Times New Roman"/>
        </w:rPr>
        <w:t>a drug and alcohol user counse</w:t>
      </w:r>
      <w:r w:rsidR="00B92878">
        <w:rPr>
          <w:rFonts w:cs="Times New Roman"/>
        </w:rPr>
        <w:t>l</w:t>
      </w:r>
      <w:r w:rsidR="00426E6E" w:rsidRPr="00C8570F">
        <w:rPr>
          <w:rFonts w:cs="Times New Roman"/>
        </w:rPr>
        <w:t>ling component into the general activity structure</w:t>
      </w:r>
      <w:r w:rsidR="007C73B9">
        <w:rPr>
          <w:rFonts w:cs="Times New Roman"/>
        </w:rPr>
        <w:t>.</w:t>
      </w:r>
    </w:p>
    <w:p w:rsidR="007C73B9" w:rsidRDefault="007C73B9" w:rsidP="00426E6E">
      <w:pPr>
        <w:autoSpaceDE w:val="0"/>
        <w:autoSpaceDN w:val="0"/>
        <w:adjustRightInd w:val="0"/>
        <w:spacing w:after="0" w:line="240" w:lineRule="auto"/>
        <w:rPr>
          <w:rFonts w:cs="Times New Roman"/>
        </w:rPr>
      </w:pPr>
    </w:p>
    <w:p w:rsidR="00426E6E" w:rsidRPr="00C8570F" w:rsidRDefault="007C73B9" w:rsidP="00426E6E">
      <w:pPr>
        <w:autoSpaceDE w:val="0"/>
        <w:autoSpaceDN w:val="0"/>
        <w:adjustRightInd w:val="0"/>
        <w:spacing w:after="0" w:line="240" w:lineRule="auto"/>
        <w:rPr>
          <w:rFonts w:cs="Times New Roman"/>
        </w:rPr>
      </w:pPr>
      <w:r>
        <w:rPr>
          <w:rFonts w:cs="Times New Roman"/>
        </w:rPr>
        <w:t xml:space="preserve">A </w:t>
      </w:r>
      <w:r w:rsidR="00396DA4">
        <w:rPr>
          <w:rFonts w:cs="Times New Roman"/>
        </w:rPr>
        <w:t>third</w:t>
      </w:r>
      <w:r>
        <w:rPr>
          <w:rFonts w:cs="Times New Roman"/>
        </w:rPr>
        <w:t xml:space="preserve"> example of a culturally relevant program for Aboriginal youth at risk is the </w:t>
      </w:r>
      <w:proofErr w:type="spellStart"/>
      <w:r w:rsidR="00426E6E" w:rsidRPr="00C8570F">
        <w:rPr>
          <w:rFonts w:cs="Times New Roman"/>
        </w:rPr>
        <w:t>Poundmaker’s</w:t>
      </w:r>
      <w:proofErr w:type="spellEnd"/>
      <w:r w:rsidR="00426E6E" w:rsidRPr="00C8570F">
        <w:rPr>
          <w:rFonts w:cs="Times New Roman"/>
        </w:rPr>
        <w:t xml:space="preserve"> Adolescent Treatment Centre in Alberta</w:t>
      </w:r>
      <w:r w:rsidR="004160F0">
        <w:rPr>
          <w:rFonts w:cs="Times New Roman"/>
        </w:rPr>
        <w:t xml:space="preserve">. According to Erickson and Butters (2005), the facility </w:t>
      </w:r>
      <w:r w:rsidR="00426E6E" w:rsidRPr="00C8570F">
        <w:rPr>
          <w:rFonts w:cs="Times New Roman"/>
        </w:rPr>
        <w:t>targets Aboriginal youth between the ages of 12 and 17 and provides an intensive</w:t>
      </w:r>
      <w:r w:rsidR="004160F0">
        <w:rPr>
          <w:rFonts w:cs="Times New Roman"/>
        </w:rPr>
        <w:t xml:space="preserve"> </w:t>
      </w:r>
      <w:r w:rsidR="00426E6E" w:rsidRPr="00C8570F">
        <w:rPr>
          <w:rFonts w:cs="Times New Roman"/>
        </w:rPr>
        <w:t xml:space="preserve">3-month substance use program. </w:t>
      </w:r>
      <w:r w:rsidR="004160F0">
        <w:rPr>
          <w:rFonts w:cs="Times New Roman"/>
        </w:rPr>
        <w:t>Erickson and Butters (2005) explain that a</w:t>
      </w:r>
      <w:r w:rsidR="00426E6E" w:rsidRPr="00C8570F">
        <w:rPr>
          <w:rFonts w:cs="Times New Roman"/>
        </w:rPr>
        <w:t>lthough</w:t>
      </w:r>
      <w:r w:rsidR="004160F0">
        <w:rPr>
          <w:rFonts w:cs="Times New Roman"/>
        </w:rPr>
        <w:t xml:space="preserve"> it is</w:t>
      </w:r>
      <w:r w:rsidR="00426E6E" w:rsidRPr="00C8570F">
        <w:rPr>
          <w:rFonts w:cs="Times New Roman"/>
        </w:rPr>
        <w:t xml:space="preserve"> not a correctional institution, the treatment</w:t>
      </w:r>
      <w:r w:rsidR="004160F0">
        <w:rPr>
          <w:rFonts w:cs="Times New Roman"/>
        </w:rPr>
        <w:t xml:space="preserve"> </w:t>
      </w:r>
      <w:r w:rsidR="00426E6E" w:rsidRPr="00C8570F">
        <w:rPr>
          <w:rFonts w:cs="Times New Roman"/>
        </w:rPr>
        <w:t>facility has been designated open custody status</w:t>
      </w:r>
      <w:r w:rsidR="00396DA4">
        <w:rPr>
          <w:rFonts w:cs="Times New Roman"/>
        </w:rPr>
        <w:t>,</w:t>
      </w:r>
      <w:r w:rsidR="00426E6E" w:rsidRPr="00C8570F">
        <w:rPr>
          <w:rFonts w:cs="Times New Roman"/>
        </w:rPr>
        <w:t xml:space="preserve"> </w:t>
      </w:r>
      <w:r w:rsidR="00396DA4">
        <w:rPr>
          <w:rFonts w:cs="Times New Roman"/>
        </w:rPr>
        <w:t>which</w:t>
      </w:r>
      <w:r w:rsidR="00426E6E" w:rsidRPr="00C8570F">
        <w:rPr>
          <w:rFonts w:cs="Times New Roman"/>
        </w:rPr>
        <w:t xml:space="preserve"> permits the referral of any young</w:t>
      </w:r>
      <w:r w:rsidR="004160F0">
        <w:rPr>
          <w:rFonts w:cs="Times New Roman"/>
        </w:rPr>
        <w:t xml:space="preserve"> </w:t>
      </w:r>
      <w:r w:rsidR="00426E6E" w:rsidRPr="00C8570F">
        <w:rPr>
          <w:rFonts w:cs="Times New Roman"/>
        </w:rPr>
        <w:t xml:space="preserve">offender with a disposition of probation, open custody, or closed custody </w:t>
      </w:r>
      <w:r w:rsidR="004160F0">
        <w:rPr>
          <w:rFonts w:cs="Times New Roman"/>
        </w:rPr>
        <w:t>and</w:t>
      </w:r>
      <w:r w:rsidR="00426E6E" w:rsidRPr="00C8570F">
        <w:rPr>
          <w:rFonts w:cs="Times New Roman"/>
        </w:rPr>
        <w:t xml:space="preserve"> eligible</w:t>
      </w:r>
      <w:r w:rsidR="004160F0">
        <w:rPr>
          <w:rFonts w:cs="Times New Roman"/>
        </w:rPr>
        <w:t xml:space="preserve"> </w:t>
      </w:r>
      <w:r w:rsidR="00426E6E" w:rsidRPr="00C8570F">
        <w:rPr>
          <w:rFonts w:cs="Times New Roman"/>
        </w:rPr>
        <w:t xml:space="preserve">to be changed to temporary release status. </w:t>
      </w:r>
      <w:r w:rsidR="00396DA4">
        <w:rPr>
          <w:rFonts w:cs="Times New Roman"/>
        </w:rPr>
        <w:t>According to Erickson and Butters (2005), t</w:t>
      </w:r>
      <w:r w:rsidR="00426E6E" w:rsidRPr="00C8570F">
        <w:rPr>
          <w:rFonts w:cs="Times New Roman"/>
        </w:rPr>
        <w:t>he program adopts the treatment philosophy</w:t>
      </w:r>
      <w:r w:rsidR="004160F0">
        <w:rPr>
          <w:rFonts w:cs="Times New Roman"/>
        </w:rPr>
        <w:t xml:space="preserve"> </w:t>
      </w:r>
      <w:r w:rsidR="00426E6E" w:rsidRPr="00C8570F">
        <w:rPr>
          <w:rFonts w:cs="Times New Roman"/>
        </w:rPr>
        <w:t>that Native clients will respond more positively to specialized treatment embodying Native</w:t>
      </w:r>
      <w:r w:rsidR="004160F0">
        <w:rPr>
          <w:rFonts w:cs="Times New Roman"/>
        </w:rPr>
        <w:t xml:space="preserve"> </w:t>
      </w:r>
      <w:r w:rsidR="00426E6E" w:rsidRPr="00C8570F">
        <w:rPr>
          <w:rFonts w:cs="Times New Roman"/>
        </w:rPr>
        <w:t xml:space="preserve">cultural awareness and emphasizes abstinence philosophies. </w:t>
      </w:r>
      <w:r w:rsidR="004160F0">
        <w:rPr>
          <w:rFonts w:cs="Times New Roman"/>
        </w:rPr>
        <w:t xml:space="preserve">Citing the organization’s website, Erickson </w:t>
      </w:r>
      <w:r w:rsidR="004160F0">
        <w:rPr>
          <w:rFonts w:cs="Times New Roman"/>
        </w:rPr>
        <w:lastRenderedPageBreak/>
        <w:t>and Butters (2005) note that a</w:t>
      </w:r>
      <w:r w:rsidR="00426E6E" w:rsidRPr="00C8570F">
        <w:rPr>
          <w:rFonts w:cs="Times New Roman"/>
        </w:rPr>
        <w:t>lthough changing substance</w:t>
      </w:r>
      <w:r w:rsidR="004160F0">
        <w:rPr>
          <w:rFonts w:cs="Times New Roman"/>
        </w:rPr>
        <w:t xml:space="preserve"> </w:t>
      </w:r>
      <w:r w:rsidR="00426E6E" w:rsidRPr="00C8570F">
        <w:rPr>
          <w:rFonts w:cs="Times New Roman"/>
        </w:rPr>
        <w:t>use patterns is the primary goal of the program, family reintegration, continued education</w:t>
      </w:r>
      <w:r w:rsidR="004160F0">
        <w:rPr>
          <w:rFonts w:cs="Times New Roman"/>
        </w:rPr>
        <w:t xml:space="preserve"> </w:t>
      </w:r>
      <w:r w:rsidR="00426E6E" w:rsidRPr="00C8570F">
        <w:rPr>
          <w:rFonts w:cs="Times New Roman"/>
        </w:rPr>
        <w:t>(classes for 4 hours a day), and addressing mental and physical health issues are also</w:t>
      </w:r>
      <w:r w:rsidR="004160F0">
        <w:rPr>
          <w:rFonts w:cs="Times New Roman"/>
        </w:rPr>
        <w:t xml:space="preserve"> </w:t>
      </w:r>
      <w:r w:rsidR="00426E6E" w:rsidRPr="00C8570F">
        <w:rPr>
          <w:rFonts w:cs="Times New Roman"/>
        </w:rPr>
        <w:t>outlined</w:t>
      </w:r>
      <w:r w:rsidR="004160F0">
        <w:rPr>
          <w:rFonts w:cs="Times New Roman"/>
        </w:rPr>
        <w:t xml:space="preserve"> as</w:t>
      </w:r>
      <w:r w:rsidR="00426E6E" w:rsidRPr="00C8570F">
        <w:rPr>
          <w:rFonts w:cs="Times New Roman"/>
        </w:rPr>
        <w:t xml:space="preserve"> essential goals to effect change in their lives (http://poundmaker.org/Adolescent.htm).</w:t>
      </w:r>
    </w:p>
    <w:p w:rsidR="004160F0" w:rsidRDefault="004160F0" w:rsidP="00426E6E">
      <w:pPr>
        <w:autoSpaceDE w:val="0"/>
        <w:autoSpaceDN w:val="0"/>
        <w:adjustRightInd w:val="0"/>
        <w:spacing w:after="0" w:line="240" w:lineRule="auto"/>
        <w:rPr>
          <w:rFonts w:cs="Times New Roman"/>
        </w:rPr>
      </w:pPr>
    </w:p>
    <w:p w:rsidR="00F75B93" w:rsidRDefault="003522CD" w:rsidP="00F75B93">
      <w:pPr>
        <w:autoSpaceDE w:val="0"/>
        <w:autoSpaceDN w:val="0"/>
        <w:adjustRightInd w:val="0"/>
        <w:spacing w:after="0" w:line="240" w:lineRule="auto"/>
        <w:rPr>
          <w:rFonts w:cs="Times New Roman"/>
        </w:rPr>
      </w:pPr>
      <w:r>
        <w:rPr>
          <w:rFonts w:cs="Times New Roman"/>
        </w:rPr>
        <w:t xml:space="preserve">A </w:t>
      </w:r>
      <w:r w:rsidR="00444F72">
        <w:rPr>
          <w:rFonts w:cs="Times New Roman"/>
        </w:rPr>
        <w:t xml:space="preserve">First Nations project aimed at helping Aboriginal youth with suspected Fetal Alcohol Spectrum Disorder (FASD) was founded in rural BC. The project, called the Youth Outreach Program (YOP) was established as </w:t>
      </w:r>
      <w:r w:rsidR="00957D5D">
        <w:rPr>
          <w:rFonts w:cs="Times New Roman"/>
        </w:rPr>
        <w:t>a three-year</w:t>
      </w:r>
      <w:r w:rsidR="00444F72">
        <w:rPr>
          <w:rFonts w:cs="Times New Roman"/>
        </w:rPr>
        <w:t xml:space="preserve"> intensive </w:t>
      </w:r>
      <w:r w:rsidR="00957D5D">
        <w:rPr>
          <w:rFonts w:cs="Times New Roman"/>
        </w:rPr>
        <w:t>outreach and support program for at</w:t>
      </w:r>
      <w:r w:rsidR="000D6B67">
        <w:rPr>
          <w:rFonts w:cs="Times New Roman"/>
        </w:rPr>
        <w:t>-</w:t>
      </w:r>
      <w:r w:rsidR="00957D5D">
        <w:rPr>
          <w:rFonts w:cs="Times New Roman"/>
        </w:rPr>
        <w:t xml:space="preserve">risk Aboriginal youth between 13 and 18 years of age. Drawing on the findings and lessons from an external evaluation that used multiple sources of data and methods, </w:t>
      </w:r>
      <w:proofErr w:type="spellStart"/>
      <w:r w:rsidR="00444F72">
        <w:rPr>
          <w:rFonts w:cs="Times New Roman"/>
        </w:rPr>
        <w:t>Hubberstey</w:t>
      </w:r>
      <w:proofErr w:type="spellEnd"/>
      <w:r w:rsidR="00444F72">
        <w:rPr>
          <w:rFonts w:cs="Times New Roman"/>
        </w:rPr>
        <w:t xml:space="preserve">, </w:t>
      </w:r>
      <w:proofErr w:type="spellStart"/>
      <w:r w:rsidR="00444F72">
        <w:rPr>
          <w:rFonts w:cs="Times New Roman"/>
        </w:rPr>
        <w:t>Rutman</w:t>
      </w:r>
      <w:proofErr w:type="spellEnd"/>
      <w:r w:rsidR="00444F72">
        <w:rPr>
          <w:rFonts w:cs="Times New Roman"/>
        </w:rPr>
        <w:t>, and Hume (2014)</w:t>
      </w:r>
      <w:r w:rsidR="00957D5D">
        <w:rPr>
          <w:rFonts w:cs="Times New Roman"/>
        </w:rPr>
        <w:t xml:space="preserve"> report that </w:t>
      </w:r>
      <w:r w:rsidR="00F75B93" w:rsidRPr="000411F5">
        <w:rPr>
          <w:rFonts w:cs="Times New Roman"/>
        </w:rPr>
        <w:t>the Youth Outreach Program led to a number of positive outcomes for youth in areas of safety, relationships, school attendance, sexual health, substance use, and knowledge and use of community resources.</w:t>
      </w:r>
      <w:r w:rsidR="00F75B93">
        <w:rPr>
          <w:rFonts w:cs="Times New Roman"/>
        </w:rPr>
        <w:t xml:space="preserve"> Furthermore, </w:t>
      </w:r>
      <w:r w:rsidR="00F75B93" w:rsidRPr="000411F5">
        <w:rPr>
          <w:rFonts w:cs="Times New Roman"/>
        </w:rPr>
        <w:t>The Youth Outreach Program made an important contribution in developing and implementing a program model for promoting positive change for highly marginalized youth who display characteristics of FASD and have limited community and family support.</w:t>
      </w:r>
      <w:r w:rsidR="00E91AFE">
        <w:rPr>
          <w:rFonts w:cs="Times New Roman"/>
        </w:rPr>
        <w:t xml:space="preserve"> </w:t>
      </w:r>
      <w:r w:rsidR="000F0D80">
        <w:rPr>
          <w:rFonts w:cs="Times New Roman"/>
        </w:rPr>
        <w:t>This type of program appears to address many of the barriers to treatment and servic</w:t>
      </w:r>
      <w:r w:rsidR="00B83F73">
        <w:rPr>
          <w:rFonts w:cs="Times New Roman"/>
        </w:rPr>
        <w:t>es identified by McLachlan et al (</w:t>
      </w:r>
      <w:proofErr w:type="spellStart"/>
      <w:r w:rsidR="00B83F73">
        <w:rPr>
          <w:rFonts w:cs="Times New Roman"/>
        </w:rPr>
        <w:t>n.d</w:t>
      </w:r>
      <w:proofErr w:type="spellEnd"/>
      <w:r w:rsidR="00B83F73">
        <w:rPr>
          <w:rFonts w:cs="Times New Roman"/>
        </w:rPr>
        <w:t>.) and could serve as a model for similar types of outreach services in community or correctional settings.</w:t>
      </w:r>
    </w:p>
    <w:p w:rsidR="00F75B93" w:rsidRDefault="00F75B93" w:rsidP="00F75B93">
      <w:pPr>
        <w:autoSpaceDE w:val="0"/>
        <w:autoSpaceDN w:val="0"/>
        <w:adjustRightInd w:val="0"/>
        <w:spacing w:after="0" w:line="240" w:lineRule="auto"/>
        <w:rPr>
          <w:rFonts w:cs="Times New Roman"/>
        </w:rPr>
      </w:pPr>
    </w:p>
    <w:p w:rsidR="003225F3" w:rsidRDefault="00A4002A" w:rsidP="00F75B93">
      <w:pPr>
        <w:autoSpaceDE w:val="0"/>
        <w:autoSpaceDN w:val="0"/>
        <w:adjustRightInd w:val="0"/>
        <w:spacing w:after="0" w:line="240" w:lineRule="auto"/>
        <w:rPr>
          <w:rFonts w:cs="Times New Roman"/>
        </w:rPr>
      </w:pPr>
      <w:proofErr w:type="spellStart"/>
      <w:r>
        <w:rPr>
          <w:rFonts w:cs="Times New Roman"/>
        </w:rPr>
        <w:t>McCaslin</w:t>
      </w:r>
      <w:proofErr w:type="spellEnd"/>
      <w:r>
        <w:rPr>
          <w:rFonts w:cs="Times New Roman"/>
        </w:rPr>
        <w:t xml:space="preserve"> and Boyer caution that “First Nations bring different histories, relationships, cultures, and perspectives to healing” (2009, p. 66); therefore it is important to remember that there is no “one size</w:t>
      </w:r>
      <w:r w:rsidR="003225F3">
        <w:rPr>
          <w:rFonts w:cs="Times New Roman"/>
        </w:rPr>
        <w:t xml:space="preserve"> </w:t>
      </w:r>
      <w:r>
        <w:rPr>
          <w:rFonts w:cs="Times New Roman"/>
        </w:rPr>
        <w:t xml:space="preserve">fits all”, magical solution when </w:t>
      </w:r>
      <w:r w:rsidR="00026669">
        <w:rPr>
          <w:rFonts w:cs="Times New Roman"/>
        </w:rPr>
        <w:t xml:space="preserve">considering how or whether to implement treatment models that have shown success in one region or sector. </w:t>
      </w:r>
    </w:p>
    <w:p w:rsidR="000E7152" w:rsidRDefault="000E7152">
      <w:pPr>
        <w:rPr>
          <w:rFonts w:cs="Times New Roman"/>
        </w:rPr>
      </w:pPr>
      <w:r>
        <w:rPr>
          <w:rFonts w:cs="Times New Roman"/>
        </w:rPr>
        <w:br w:type="page"/>
      </w:r>
    </w:p>
    <w:p w:rsidR="003419D5" w:rsidRDefault="00F75B93" w:rsidP="004B7DD2">
      <w:pPr>
        <w:autoSpaceDE w:val="0"/>
        <w:autoSpaceDN w:val="0"/>
        <w:adjustRightInd w:val="0"/>
        <w:spacing w:after="0" w:line="240" w:lineRule="auto"/>
        <w:rPr>
          <w:rFonts w:cs="Times New Roman"/>
          <w:b/>
        </w:rPr>
      </w:pPr>
      <w:r>
        <w:rPr>
          <w:rFonts w:cs="Times New Roman"/>
          <w:b/>
        </w:rPr>
        <w:lastRenderedPageBreak/>
        <w:t>Conclusions</w:t>
      </w:r>
    </w:p>
    <w:p w:rsidR="004A5D74" w:rsidRDefault="000E7152" w:rsidP="004B7DD2">
      <w:pPr>
        <w:autoSpaceDE w:val="0"/>
        <w:autoSpaceDN w:val="0"/>
        <w:adjustRightInd w:val="0"/>
        <w:spacing w:after="0" w:line="240" w:lineRule="auto"/>
        <w:rPr>
          <w:rFonts w:cs="Times New Roman"/>
        </w:rPr>
      </w:pPr>
      <w:r>
        <w:rPr>
          <w:rFonts w:cs="Times New Roman"/>
        </w:rPr>
        <w:t xml:space="preserve">A review of the literature on substance abuse treatment models for adolescents indicates that most </w:t>
      </w:r>
      <w:r w:rsidR="00026669">
        <w:rPr>
          <w:rFonts w:cs="Times New Roman"/>
        </w:rPr>
        <w:t>treatment interventions</w:t>
      </w:r>
      <w:r>
        <w:rPr>
          <w:rFonts w:cs="Times New Roman"/>
        </w:rPr>
        <w:t xml:space="preserve"> produce mixed results at best</w:t>
      </w:r>
      <w:r w:rsidR="00026669">
        <w:rPr>
          <w:rFonts w:cs="Times New Roman"/>
        </w:rPr>
        <w:t xml:space="preserve"> (Williams &amp; Chang, 2000; </w:t>
      </w:r>
      <w:proofErr w:type="spellStart"/>
      <w:r w:rsidR="00026669">
        <w:rPr>
          <w:rFonts w:cs="Times New Roman"/>
        </w:rPr>
        <w:t>Deas</w:t>
      </w:r>
      <w:proofErr w:type="spellEnd"/>
      <w:r w:rsidR="00026669">
        <w:rPr>
          <w:rFonts w:cs="Times New Roman"/>
        </w:rPr>
        <w:t xml:space="preserve"> &amp;Thomas, 2001), particularly when the treatment models were originally designed for adult substance users</w:t>
      </w:r>
      <w:r w:rsidR="00991C0B">
        <w:rPr>
          <w:rFonts w:cs="Times New Roman"/>
        </w:rPr>
        <w:t xml:space="preserve">. Treatment models that are based on (1) cognitive-behavioural therapy (CBT) and/or (2) </w:t>
      </w:r>
      <w:proofErr w:type="spellStart"/>
      <w:r w:rsidR="003B15BC">
        <w:rPr>
          <w:rFonts w:cs="Times New Roman"/>
        </w:rPr>
        <w:t>multisystemic</w:t>
      </w:r>
      <w:proofErr w:type="spellEnd"/>
      <w:r w:rsidR="003B15BC">
        <w:rPr>
          <w:rFonts w:cs="Times New Roman"/>
        </w:rPr>
        <w:t>/family-based therapies that take place in a youth’s community appear to produce the best treatment outcomes</w:t>
      </w:r>
      <w:r w:rsidR="00130F27">
        <w:rPr>
          <w:rFonts w:cs="Times New Roman"/>
        </w:rPr>
        <w:t xml:space="preserve">. </w:t>
      </w:r>
    </w:p>
    <w:p w:rsidR="004A5D74" w:rsidRDefault="004A5D74" w:rsidP="004B7DD2">
      <w:pPr>
        <w:autoSpaceDE w:val="0"/>
        <w:autoSpaceDN w:val="0"/>
        <w:adjustRightInd w:val="0"/>
        <w:spacing w:after="0" w:line="240" w:lineRule="auto"/>
        <w:rPr>
          <w:rFonts w:cs="Times New Roman"/>
        </w:rPr>
      </w:pPr>
    </w:p>
    <w:p w:rsidR="00026FE9" w:rsidRDefault="00AA0457" w:rsidP="004B7DD2">
      <w:pPr>
        <w:autoSpaceDE w:val="0"/>
        <w:autoSpaceDN w:val="0"/>
        <w:adjustRightInd w:val="0"/>
        <w:spacing w:after="0" w:line="240" w:lineRule="auto"/>
        <w:rPr>
          <w:rFonts w:cs="Times New Roman"/>
        </w:rPr>
      </w:pPr>
      <w:r>
        <w:rPr>
          <w:rFonts w:cs="Times New Roman"/>
        </w:rPr>
        <w:t>Several studies have shown that</w:t>
      </w:r>
      <w:r w:rsidR="00EA4440">
        <w:rPr>
          <w:rFonts w:cs="Times New Roman"/>
        </w:rPr>
        <w:t xml:space="preserve"> psychological trauma and PTSD tend to negatively impact substance treatment outcomes. Given that youth with complex trauma histories comprise a majority of the population of youth detention facilities and residential treatment facilities, an accurate diagnosis and appropriate, trauma-specific </w:t>
      </w:r>
      <w:r w:rsidR="00026FE9">
        <w:rPr>
          <w:rFonts w:cs="Times New Roman"/>
        </w:rPr>
        <w:t>treatment is critical to ensuring traumatized youth are equipped with self-regulation skills and adaptive coping strategies that will then support youths’ ability to successfully navigate substance treatment interventions.</w:t>
      </w:r>
    </w:p>
    <w:p w:rsidR="00026FE9" w:rsidRDefault="00026FE9" w:rsidP="004B7DD2">
      <w:pPr>
        <w:autoSpaceDE w:val="0"/>
        <w:autoSpaceDN w:val="0"/>
        <w:adjustRightInd w:val="0"/>
        <w:spacing w:after="0" w:line="240" w:lineRule="auto"/>
        <w:rPr>
          <w:rFonts w:cs="Times New Roman"/>
        </w:rPr>
      </w:pPr>
    </w:p>
    <w:p w:rsidR="000E7152" w:rsidRDefault="00026FE9" w:rsidP="004B7DD2">
      <w:pPr>
        <w:autoSpaceDE w:val="0"/>
        <w:autoSpaceDN w:val="0"/>
        <w:adjustRightInd w:val="0"/>
        <w:spacing w:after="0" w:line="240" w:lineRule="auto"/>
        <w:rPr>
          <w:rFonts w:cs="Times New Roman"/>
        </w:rPr>
      </w:pPr>
      <w:r>
        <w:rPr>
          <w:rFonts w:cs="Times New Roman"/>
        </w:rPr>
        <w:t>A growing body of studies shows that trauma-sensitive complementary treatment interventions such as trauma-sensitive yoga (also referred to as trauma-informed) and mindfulness-based stress reduct</w:t>
      </w:r>
      <w:r w:rsidR="00545113">
        <w:rPr>
          <w:rFonts w:cs="Times New Roman"/>
        </w:rPr>
        <w:t>ion training are promising practices as adjunct treatments for substance use programs. Furthermore, these programs can contribute to positive treatment outcomes and can be delivered over a relatively short time frame. More formative research needs t</w:t>
      </w:r>
      <w:r w:rsidR="00070B3B">
        <w:rPr>
          <w:rFonts w:cs="Times New Roman"/>
        </w:rPr>
        <w:t xml:space="preserve">o be conducted and published in order to provide guidelines and best practices regarding the design of programs that are developmentally appropriate (and enticing) for justice-involved and at risk youth. </w:t>
      </w:r>
    </w:p>
    <w:p w:rsidR="00070B3B" w:rsidRDefault="00070B3B" w:rsidP="004B7DD2">
      <w:pPr>
        <w:autoSpaceDE w:val="0"/>
        <w:autoSpaceDN w:val="0"/>
        <w:adjustRightInd w:val="0"/>
        <w:spacing w:after="0" w:line="240" w:lineRule="auto"/>
        <w:rPr>
          <w:rFonts w:cs="Times New Roman"/>
        </w:rPr>
      </w:pPr>
    </w:p>
    <w:p w:rsidR="00070B3B" w:rsidRDefault="00070B3B" w:rsidP="004B7DD2">
      <w:pPr>
        <w:autoSpaceDE w:val="0"/>
        <w:autoSpaceDN w:val="0"/>
        <w:adjustRightInd w:val="0"/>
        <w:spacing w:after="0" w:line="240" w:lineRule="auto"/>
        <w:rPr>
          <w:rFonts w:cs="Times New Roman"/>
        </w:rPr>
      </w:pPr>
      <w:r>
        <w:rPr>
          <w:rFonts w:cs="Times New Roman"/>
        </w:rPr>
        <w:t>It is also important to take into account and provide appropriate, effective services for specific subgroups of justice-involved youth, namely females and Aboriginal youth. As noted in the body of the literature review, each of these groups has unique developmental paths into substance abuse</w:t>
      </w:r>
      <w:r w:rsidR="000E7187">
        <w:rPr>
          <w:rFonts w:cs="Times New Roman"/>
        </w:rPr>
        <w:t xml:space="preserve"> and the youth justice system, but often existing programs, developed for male youths of the dominant culture, are not well suited to adequately meeting the needs of female and Aboriginal youth.</w:t>
      </w:r>
    </w:p>
    <w:p w:rsidR="000E7187" w:rsidRDefault="000E7187" w:rsidP="004B7DD2">
      <w:pPr>
        <w:autoSpaceDE w:val="0"/>
        <w:autoSpaceDN w:val="0"/>
        <w:adjustRightInd w:val="0"/>
        <w:spacing w:after="0" w:line="240" w:lineRule="auto"/>
        <w:rPr>
          <w:rFonts w:cs="Times New Roman"/>
        </w:rPr>
      </w:pPr>
    </w:p>
    <w:p w:rsidR="000E7187" w:rsidRPr="000E7152" w:rsidRDefault="000E7187" w:rsidP="004B7DD2">
      <w:pPr>
        <w:autoSpaceDE w:val="0"/>
        <w:autoSpaceDN w:val="0"/>
        <w:adjustRightInd w:val="0"/>
        <w:spacing w:after="0" w:line="240" w:lineRule="auto"/>
        <w:rPr>
          <w:rFonts w:cs="Times New Roman"/>
        </w:rPr>
      </w:pPr>
      <w:r>
        <w:rPr>
          <w:rFonts w:cs="Times New Roman"/>
        </w:rPr>
        <w:t xml:space="preserve">While a number of culturally relevant substance treatment programs have been developed for Aboriginal youth in the Canadian youth justice system, fewer gender-specific or gender-responsive treatment programs have been developed for adolescent females in the youth justice system. Both types of programs are considered most beneficial when they are strength-based and help to build resilience. More formative and evaluation research studies are needed to </w:t>
      </w:r>
      <w:r w:rsidR="008A4C99">
        <w:rPr>
          <w:rFonts w:cs="Times New Roman"/>
        </w:rPr>
        <w:t xml:space="preserve">guide the development of gender-responsive and culturally-responsive treatment programs that can be </w:t>
      </w:r>
      <w:proofErr w:type="spellStart"/>
      <w:r w:rsidR="008A4C99">
        <w:rPr>
          <w:rFonts w:cs="Times New Roman"/>
        </w:rPr>
        <w:t>manualized</w:t>
      </w:r>
      <w:proofErr w:type="spellEnd"/>
      <w:r w:rsidR="008A4C99">
        <w:rPr>
          <w:rFonts w:cs="Times New Roman"/>
        </w:rPr>
        <w:t xml:space="preserve"> and readily implemented in a variety of community-based or institutionally-based settings. </w:t>
      </w:r>
    </w:p>
    <w:p w:rsidR="003419D5" w:rsidRDefault="003419D5">
      <w:pPr>
        <w:rPr>
          <w:rFonts w:cs="Times New Roman"/>
          <w:b/>
        </w:rPr>
      </w:pPr>
      <w:r>
        <w:rPr>
          <w:rFonts w:cs="Times New Roman"/>
          <w:b/>
        </w:rPr>
        <w:br w:type="page"/>
      </w:r>
    </w:p>
    <w:p w:rsidR="003419D5" w:rsidRDefault="003419D5" w:rsidP="003419D5">
      <w:pPr>
        <w:autoSpaceDE w:val="0"/>
        <w:autoSpaceDN w:val="0"/>
        <w:adjustRightInd w:val="0"/>
        <w:spacing w:after="0" w:line="240" w:lineRule="auto"/>
        <w:jc w:val="center"/>
        <w:rPr>
          <w:rFonts w:cs="Times New Roman"/>
          <w:b/>
        </w:rPr>
      </w:pPr>
      <w:r>
        <w:rPr>
          <w:rFonts w:cs="Times New Roman"/>
          <w:b/>
        </w:rPr>
        <w:lastRenderedPageBreak/>
        <w:t>References</w:t>
      </w:r>
    </w:p>
    <w:p w:rsidR="003419D5" w:rsidRDefault="003419D5" w:rsidP="003419D5">
      <w:pPr>
        <w:autoSpaceDE w:val="0"/>
        <w:autoSpaceDN w:val="0"/>
        <w:adjustRightInd w:val="0"/>
        <w:spacing w:after="0" w:line="240" w:lineRule="auto"/>
        <w:jc w:val="center"/>
        <w:rPr>
          <w:rFonts w:cs="Times New Roman"/>
          <w:b/>
        </w:rPr>
      </w:pPr>
    </w:p>
    <w:p w:rsidR="003419D5" w:rsidRPr="00F27FA9" w:rsidRDefault="003419D5" w:rsidP="003419D5">
      <w:pPr>
        <w:autoSpaceDE w:val="0"/>
        <w:autoSpaceDN w:val="0"/>
        <w:adjustRightInd w:val="0"/>
        <w:spacing w:after="0" w:line="240" w:lineRule="auto"/>
        <w:ind w:left="450" w:hanging="450"/>
        <w:rPr>
          <w:rFonts w:cs="HelveticaNeueLTStd-Lt"/>
        </w:rPr>
      </w:pPr>
      <w:proofErr w:type="gramStart"/>
      <w:r w:rsidRPr="00F27FA9">
        <w:rPr>
          <w:rFonts w:cs="HelveticaNeueLTStd-Lt"/>
        </w:rPr>
        <w:t xml:space="preserve">Allen, M.K., &amp; </w:t>
      </w:r>
      <w:proofErr w:type="spellStart"/>
      <w:r w:rsidRPr="00F27FA9">
        <w:rPr>
          <w:rFonts w:cs="HelveticaNeueLTStd-Lt"/>
        </w:rPr>
        <w:t>Superle</w:t>
      </w:r>
      <w:proofErr w:type="spellEnd"/>
      <w:r w:rsidRPr="00F27FA9">
        <w:rPr>
          <w:rFonts w:cs="HelveticaNeueLTStd-Lt"/>
        </w:rPr>
        <w:t>, T. (2016).</w:t>
      </w:r>
      <w:proofErr w:type="gramEnd"/>
      <w:r w:rsidRPr="00F27FA9">
        <w:rPr>
          <w:rFonts w:cs="HelveticaNeueLTStd-Lt"/>
        </w:rPr>
        <w:t xml:space="preserve"> </w:t>
      </w:r>
      <w:proofErr w:type="gramStart"/>
      <w:r w:rsidRPr="00F27FA9">
        <w:rPr>
          <w:rFonts w:cs="HelveticaNeueLTStd-Lt"/>
          <w:i/>
        </w:rPr>
        <w:t>Youth Crime in Canada, 2014</w:t>
      </w:r>
      <w:r w:rsidRPr="00F27FA9">
        <w:rPr>
          <w:rFonts w:cs="HelveticaNeueLTStd-Lt"/>
        </w:rPr>
        <w:t>.</w:t>
      </w:r>
      <w:proofErr w:type="gramEnd"/>
      <w:r w:rsidRPr="00F27FA9">
        <w:rPr>
          <w:rFonts w:cs="HelveticaNeueLTStd-Lt"/>
        </w:rPr>
        <w:t xml:space="preserve"> Ottawa, ON: Canadian Centre for Justice</w:t>
      </w:r>
      <w:r>
        <w:rPr>
          <w:rFonts w:cs="HelveticaNeueLTStd-Lt"/>
        </w:rPr>
        <w:t xml:space="preserve"> </w:t>
      </w:r>
      <w:r w:rsidRPr="00F27FA9">
        <w:rPr>
          <w:rFonts w:cs="HelveticaNeueLTStd-Lt"/>
        </w:rPr>
        <w:t xml:space="preserve">Statistics. </w:t>
      </w:r>
      <w:proofErr w:type="gramStart"/>
      <w:r w:rsidRPr="00F27FA9">
        <w:rPr>
          <w:rFonts w:cs="HelveticaNeueLTStd-Lt"/>
        </w:rPr>
        <w:t xml:space="preserve">Statistics Canada </w:t>
      </w:r>
      <w:r w:rsidRPr="00F27FA9">
        <w:rPr>
          <w:rFonts w:cs="HelveticaNeueLTStd-Roman"/>
          <w:lang w:val="en-US"/>
        </w:rPr>
        <w:t>Catalogue no. 85-002-X ISSN 1209-6393</w:t>
      </w:r>
      <w:r>
        <w:rPr>
          <w:rFonts w:cs="HelveticaNeueLTStd-Roman"/>
          <w:lang w:val="en-US"/>
        </w:rPr>
        <w:t>.</w:t>
      </w:r>
      <w:proofErr w:type="gramEnd"/>
      <w:r w:rsidRPr="00F27FA9">
        <w:rPr>
          <w:rFonts w:cs="HelveticaNeueLTStd-Lt"/>
        </w:rPr>
        <w:t xml:space="preserve"> </w:t>
      </w:r>
    </w:p>
    <w:p w:rsidR="003419D5" w:rsidRDefault="003419D5" w:rsidP="003419D5">
      <w:pPr>
        <w:autoSpaceDE w:val="0"/>
        <w:autoSpaceDN w:val="0"/>
        <w:adjustRightInd w:val="0"/>
        <w:spacing w:after="0" w:line="240" w:lineRule="auto"/>
        <w:rPr>
          <w:rFonts w:cs="Times New Roman"/>
        </w:rPr>
      </w:pPr>
    </w:p>
    <w:p w:rsidR="00101D93" w:rsidRDefault="00101D93" w:rsidP="00101D93">
      <w:pPr>
        <w:autoSpaceDE w:val="0"/>
        <w:autoSpaceDN w:val="0"/>
        <w:adjustRightInd w:val="0"/>
        <w:spacing w:after="0" w:line="240" w:lineRule="auto"/>
        <w:ind w:left="567" w:hanging="567"/>
        <w:rPr>
          <w:rFonts w:cs="Times New Roman"/>
        </w:rPr>
      </w:pPr>
      <w:proofErr w:type="spellStart"/>
      <w:r w:rsidRPr="00570D4C">
        <w:rPr>
          <w:rFonts w:cs="Times New Roman"/>
        </w:rPr>
        <w:t>Biegel</w:t>
      </w:r>
      <w:proofErr w:type="spellEnd"/>
      <w:r w:rsidRPr="00570D4C">
        <w:rPr>
          <w:rFonts w:cs="Times New Roman"/>
        </w:rPr>
        <w:t>, G</w:t>
      </w:r>
      <w:r w:rsidR="00F678CD">
        <w:rPr>
          <w:rFonts w:cs="Times New Roman"/>
        </w:rPr>
        <w:t xml:space="preserve">., </w:t>
      </w:r>
      <w:r w:rsidRPr="00570D4C">
        <w:rPr>
          <w:rFonts w:cs="Times New Roman"/>
        </w:rPr>
        <w:t xml:space="preserve">Brown, </w:t>
      </w:r>
      <w:r w:rsidR="00F678CD">
        <w:rPr>
          <w:rFonts w:cs="Times New Roman"/>
        </w:rPr>
        <w:t xml:space="preserve">M., </w:t>
      </w:r>
      <w:r w:rsidRPr="00570D4C">
        <w:rPr>
          <w:rFonts w:cs="Times New Roman"/>
        </w:rPr>
        <w:t>Warren</w:t>
      </w:r>
      <w:r w:rsidR="00F678CD">
        <w:rPr>
          <w:rFonts w:cs="Times New Roman"/>
        </w:rPr>
        <w:t xml:space="preserve">, K., </w:t>
      </w:r>
      <w:r w:rsidRPr="00570D4C">
        <w:rPr>
          <w:rFonts w:cs="Times New Roman"/>
        </w:rPr>
        <w:t>Shapiro</w:t>
      </w:r>
      <w:r w:rsidR="00F678CD">
        <w:rPr>
          <w:rFonts w:cs="Times New Roman"/>
        </w:rPr>
        <w:t xml:space="preserve">, S. </w:t>
      </w:r>
      <w:r w:rsidRPr="00570D4C">
        <w:rPr>
          <w:rFonts w:cs="Times New Roman"/>
        </w:rPr>
        <w:t>L</w:t>
      </w:r>
      <w:r w:rsidR="00F678CD">
        <w:rPr>
          <w:rFonts w:cs="Times New Roman"/>
        </w:rPr>
        <w:t>. &amp;</w:t>
      </w:r>
      <w:r w:rsidRPr="00570D4C">
        <w:rPr>
          <w:rFonts w:cs="Times New Roman"/>
        </w:rPr>
        <w:t xml:space="preserve"> Schubert, C</w:t>
      </w:r>
      <w:r w:rsidR="00F678CD">
        <w:rPr>
          <w:rFonts w:cs="Times New Roman"/>
        </w:rPr>
        <w:t>.</w:t>
      </w:r>
      <w:r w:rsidRPr="00570D4C">
        <w:rPr>
          <w:rFonts w:cs="Times New Roman"/>
        </w:rPr>
        <w:t xml:space="preserve"> M.</w:t>
      </w:r>
      <w:r>
        <w:rPr>
          <w:rFonts w:cs="Times New Roman"/>
        </w:rPr>
        <w:t xml:space="preserve"> (2009)</w:t>
      </w:r>
      <w:r w:rsidR="00F678CD">
        <w:rPr>
          <w:rFonts w:cs="Times New Roman"/>
        </w:rPr>
        <w:t>.</w:t>
      </w:r>
      <w:r>
        <w:rPr>
          <w:rFonts w:cs="Times New Roman"/>
        </w:rPr>
        <w:t xml:space="preserve"> </w:t>
      </w:r>
      <w:r w:rsidRPr="00570D4C">
        <w:rPr>
          <w:rFonts w:cs="Times New Roman"/>
        </w:rPr>
        <w:t>Mindfulness-based stress reduction for the treatment of adolescent psychiatric outpatients: A randomized clinical trial.</w:t>
      </w:r>
      <w:r>
        <w:rPr>
          <w:rFonts w:cs="Times New Roman"/>
        </w:rPr>
        <w:t xml:space="preserve"> </w:t>
      </w:r>
      <w:r w:rsidRPr="00570D4C">
        <w:rPr>
          <w:rFonts w:cs="Times New Roman"/>
          <w:i/>
        </w:rPr>
        <w:t>Journal of Consulting and Clinical Psychology</w:t>
      </w:r>
      <w:r w:rsidRPr="00570D4C">
        <w:rPr>
          <w:rFonts w:cs="Times New Roman"/>
        </w:rPr>
        <w:t xml:space="preserve">, </w:t>
      </w:r>
      <w:proofErr w:type="spellStart"/>
      <w:r w:rsidRPr="00570D4C">
        <w:rPr>
          <w:rFonts w:cs="Times New Roman"/>
        </w:rPr>
        <w:t>Vol</w:t>
      </w:r>
      <w:proofErr w:type="spellEnd"/>
      <w:r w:rsidRPr="00570D4C">
        <w:rPr>
          <w:rFonts w:cs="Times New Roman"/>
        </w:rPr>
        <w:t xml:space="preserve"> 77(5), Oct 2009, 855-866. http://dx.doi.org/10.1037/a0016241</w:t>
      </w:r>
    </w:p>
    <w:p w:rsidR="00101D93" w:rsidRDefault="00101D93" w:rsidP="003419D5">
      <w:pPr>
        <w:autoSpaceDE w:val="0"/>
        <w:autoSpaceDN w:val="0"/>
        <w:adjustRightInd w:val="0"/>
        <w:spacing w:after="0" w:line="240" w:lineRule="auto"/>
        <w:rPr>
          <w:rFonts w:cs="Times New Roman"/>
        </w:rPr>
      </w:pPr>
    </w:p>
    <w:p w:rsidR="00E362A1" w:rsidRDefault="00E362A1" w:rsidP="00E362A1">
      <w:pPr>
        <w:autoSpaceDE w:val="0"/>
        <w:autoSpaceDN w:val="0"/>
        <w:adjustRightInd w:val="0"/>
        <w:spacing w:after="0" w:line="240" w:lineRule="auto"/>
        <w:ind w:left="567" w:hanging="567"/>
        <w:rPr>
          <w:rFonts w:cs="Times New Roman"/>
        </w:rPr>
      </w:pPr>
      <w:proofErr w:type="gramStart"/>
      <w:r>
        <w:rPr>
          <w:rFonts w:cs="Times New Roman"/>
        </w:rPr>
        <w:t xml:space="preserve">Britton, W.B., </w:t>
      </w:r>
      <w:proofErr w:type="spellStart"/>
      <w:r>
        <w:rPr>
          <w:rFonts w:cs="Times New Roman"/>
        </w:rPr>
        <w:t>Bootzin</w:t>
      </w:r>
      <w:proofErr w:type="spellEnd"/>
      <w:r>
        <w:rPr>
          <w:rFonts w:cs="Times New Roman"/>
        </w:rPr>
        <w:t xml:space="preserve">, R.R., Cousins, J.C., </w:t>
      </w:r>
      <w:proofErr w:type="spellStart"/>
      <w:r>
        <w:rPr>
          <w:rFonts w:cs="Times New Roman"/>
        </w:rPr>
        <w:t>Hasler</w:t>
      </w:r>
      <w:proofErr w:type="spellEnd"/>
      <w:r>
        <w:rPr>
          <w:rFonts w:cs="Times New Roman"/>
        </w:rPr>
        <w:t>, B.P., Peck, T. &amp; Shapiro, S.L. (2010).</w:t>
      </w:r>
      <w:proofErr w:type="gramEnd"/>
      <w:r>
        <w:rPr>
          <w:rFonts w:cs="Times New Roman"/>
        </w:rPr>
        <w:t xml:space="preserve"> </w:t>
      </w:r>
      <w:r w:rsidRPr="00CF14D4">
        <w:rPr>
          <w:rFonts w:cs="Times New Roman"/>
        </w:rPr>
        <w:t>The Contribution of Mindfulness Practice</w:t>
      </w:r>
      <w:r>
        <w:rPr>
          <w:rFonts w:cs="Times New Roman"/>
        </w:rPr>
        <w:t xml:space="preserve"> </w:t>
      </w:r>
      <w:r w:rsidRPr="00CF14D4">
        <w:rPr>
          <w:rFonts w:cs="Times New Roman"/>
        </w:rPr>
        <w:t xml:space="preserve">to a </w:t>
      </w:r>
      <w:proofErr w:type="spellStart"/>
      <w:r w:rsidRPr="00CF14D4">
        <w:rPr>
          <w:rFonts w:cs="Times New Roman"/>
        </w:rPr>
        <w:t>Multicomponent</w:t>
      </w:r>
      <w:proofErr w:type="spellEnd"/>
      <w:r w:rsidRPr="00CF14D4">
        <w:rPr>
          <w:rFonts w:cs="Times New Roman"/>
        </w:rPr>
        <w:t xml:space="preserve"> Behavioral Sleep Intervention</w:t>
      </w:r>
      <w:r>
        <w:rPr>
          <w:rFonts w:cs="Times New Roman"/>
        </w:rPr>
        <w:t xml:space="preserve"> </w:t>
      </w:r>
      <w:r w:rsidRPr="00CF14D4">
        <w:rPr>
          <w:rFonts w:cs="Times New Roman"/>
        </w:rPr>
        <w:t>Following Substance Abuse Treatment in Adolescents:</w:t>
      </w:r>
      <w:r>
        <w:rPr>
          <w:rFonts w:cs="Times New Roman"/>
        </w:rPr>
        <w:t xml:space="preserve"> </w:t>
      </w:r>
      <w:r w:rsidRPr="00CF14D4">
        <w:rPr>
          <w:rFonts w:cs="Times New Roman"/>
        </w:rPr>
        <w:t>A Treatment-Development Study</w:t>
      </w:r>
      <w:r>
        <w:rPr>
          <w:rFonts w:cs="Times New Roman"/>
        </w:rPr>
        <w:t xml:space="preserve">. </w:t>
      </w:r>
      <w:r w:rsidRPr="00E362A1">
        <w:rPr>
          <w:rFonts w:cs="Times New Roman"/>
          <w:i/>
        </w:rPr>
        <w:t>Substance Abuse</w:t>
      </w:r>
      <w:r w:rsidRPr="00CF14D4">
        <w:rPr>
          <w:rFonts w:cs="Times New Roman"/>
        </w:rPr>
        <w:t>, 31:86–97, 2010</w:t>
      </w:r>
      <w:r>
        <w:rPr>
          <w:rFonts w:cs="Times New Roman"/>
        </w:rPr>
        <w:t xml:space="preserve">. </w:t>
      </w:r>
      <w:r w:rsidRPr="00CF14D4">
        <w:rPr>
          <w:rFonts w:cs="Times New Roman"/>
        </w:rPr>
        <w:t>ISSN: 0889-7077 print / 1547-0164 online</w:t>
      </w:r>
      <w:r>
        <w:rPr>
          <w:rFonts w:cs="Times New Roman"/>
        </w:rPr>
        <w:t xml:space="preserve">, </w:t>
      </w:r>
      <w:r w:rsidRPr="00CF14D4">
        <w:rPr>
          <w:rFonts w:cs="Times New Roman"/>
        </w:rPr>
        <w:t>DOI: 10.1080/08897071003641297</w:t>
      </w:r>
    </w:p>
    <w:p w:rsidR="00E362A1" w:rsidRDefault="00E362A1" w:rsidP="003419D5">
      <w:pPr>
        <w:autoSpaceDE w:val="0"/>
        <w:autoSpaceDN w:val="0"/>
        <w:adjustRightInd w:val="0"/>
        <w:spacing w:after="0" w:line="240" w:lineRule="auto"/>
        <w:rPr>
          <w:rFonts w:cs="Times New Roman"/>
        </w:rPr>
      </w:pPr>
    </w:p>
    <w:p w:rsidR="00C87448" w:rsidRPr="00C87448" w:rsidRDefault="00CC0CCA" w:rsidP="00C87448">
      <w:pPr>
        <w:autoSpaceDE w:val="0"/>
        <w:autoSpaceDN w:val="0"/>
        <w:adjustRightInd w:val="0"/>
        <w:spacing w:after="0" w:line="240" w:lineRule="auto"/>
        <w:ind w:left="426" w:hanging="426"/>
        <w:rPr>
          <w:rFonts w:cs="HelveticaNeueLTStd-Th"/>
        </w:rPr>
      </w:pPr>
      <w:proofErr w:type="gramStart"/>
      <w:r>
        <w:rPr>
          <w:rFonts w:cs="HelveticaNeueLTStd-Th"/>
        </w:rPr>
        <w:t xml:space="preserve">Brown, </w:t>
      </w:r>
      <w:r w:rsidR="00C87448">
        <w:rPr>
          <w:rFonts w:cs="HelveticaNeueLTStd-Th"/>
        </w:rPr>
        <w:t xml:space="preserve">A.D., </w:t>
      </w:r>
      <w:r>
        <w:rPr>
          <w:rFonts w:cs="HelveticaNeueLTStd-Th"/>
        </w:rPr>
        <w:t>McCauley,</w:t>
      </w:r>
      <w:r w:rsidR="00C87448">
        <w:rPr>
          <w:rFonts w:cs="HelveticaNeueLTStd-Th"/>
        </w:rPr>
        <w:t xml:space="preserve"> K.,</w:t>
      </w:r>
      <w:r>
        <w:rPr>
          <w:rFonts w:cs="HelveticaNeueLTStd-Th"/>
        </w:rPr>
        <w:t xml:space="preserve"> </w:t>
      </w:r>
      <w:proofErr w:type="spellStart"/>
      <w:r>
        <w:rPr>
          <w:rFonts w:cs="HelveticaNeueLTStd-Th"/>
        </w:rPr>
        <w:t>Navalta</w:t>
      </w:r>
      <w:proofErr w:type="spellEnd"/>
      <w:r w:rsidR="00C87448">
        <w:rPr>
          <w:rFonts w:cs="HelveticaNeueLTStd-Th"/>
        </w:rPr>
        <w:t xml:space="preserve">, C.P. </w:t>
      </w:r>
      <w:r>
        <w:rPr>
          <w:rFonts w:cs="HelveticaNeueLTStd-Th"/>
        </w:rPr>
        <w:t>&amp; Saxe,</w:t>
      </w:r>
      <w:r w:rsidR="00C87448">
        <w:rPr>
          <w:rFonts w:cs="HelveticaNeueLTStd-Th"/>
        </w:rPr>
        <w:t xml:space="preserve"> G.N. (</w:t>
      </w:r>
      <w:r>
        <w:rPr>
          <w:rFonts w:cs="HelveticaNeueLTStd-Th"/>
        </w:rPr>
        <w:t>2013</w:t>
      </w:r>
      <w:r w:rsidR="00C87448">
        <w:rPr>
          <w:rFonts w:cs="HelveticaNeueLTStd-Th"/>
        </w:rPr>
        <w:t>).</w:t>
      </w:r>
      <w:proofErr w:type="gramEnd"/>
      <w:r w:rsidR="00C87448">
        <w:rPr>
          <w:rFonts w:cs="HelveticaNeueLTStd-Th"/>
        </w:rPr>
        <w:t xml:space="preserve"> Trauma Systems Therapy in Residential Settings: Improving Emotional Regulation and the Social Environment of Traumatize Children and Youth in Congregate Care. </w:t>
      </w:r>
      <w:proofErr w:type="gramStart"/>
      <w:r w:rsidR="00C87448">
        <w:rPr>
          <w:rFonts w:cs="HelveticaNeueLTStd-Th"/>
          <w:i/>
        </w:rPr>
        <w:t>Journal of Family Violence.</w:t>
      </w:r>
      <w:proofErr w:type="gramEnd"/>
      <w:r w:rsidR="003F23F9">
        <w:rPr>
          <w:rFonts w:cs="HelveticaNeueLTStd-Th"/>
          <w:i/>
        </w:rPr>
        <w:t xml:space="preserve"> </w:t>
      </w:r>
      <w:proofErr w:type="gramStart"/>
      <w:r w:rsidR="003F23F9">
        <w:rPr>
          <w:rFonts w:cs="HelveticaNeueLTStd-Th"/>
        </w:rPr>
        <w:t xml:space="preserve">Published online, 2013 </w:t>
      </w:r>
      <w:r w:rsidR="00C87448">
        <w:rPr>
          <w:rFonts w:cs="HelveticaNeueLTStd-Th"/>
        </w:rPr>
        <w:t>DOI 10.1007/s10896-013-9542-9.</w:t>
      </w:r>
      <w:proofErr w:type="gramEnd"/>
    </w:p>
    <w:p w:rsidR="00CC0CCA" w:rsidRDefault="00CC0CCA" w:rsidP="003419D5">
      <w:pPr>
        <w:autoSpaceDE w:val="0"/>
        <w:autoSpaceDN w:val="0"/>
        <w:adjustRightInd w:val="0"/>
        <w:spacing w:after="0" w:line="240" w:lineRule="auto"/>
        <w:rPr>
          <w:rFonts w:cs="Times New Roman"/>
        </w:rPr>
      </w:pPr>
    </w:p>
    <w:p w:rsidR="00F558D9" w:rsidRPr="00F558D9" w:rsidRDefault="00F558D9" w:rsidP="00F558D9">
      <w:pPr>
        <w:autoSpaceDE w:val="0"/>
        <w:autoSpaceDN w:val="0"/>
        <w:adjustRightInd w:val="0"/>
        <w:spacing w:after="0" w:line="240" w:lineRule="auto"/>
        <w:ind w:left="426" w:hanging="426"/>
        <w:rPr>
          <w:rFonts w:cs="Times New Roman"/>
        </w:rPr>
      </w:pPr>
      <w:r>
        <w:rPr>
          <w:rFonts w:cs="Times New Roman"/>
        </w:rPr>
        <w:t xml:space="preserve">Brown, S.D. (2004). </w:t>
      </w:r>
      <w:proofErr w:type="gramStart"/>
      <w:r>
        <w:rPr>
          <w:rFonts w:cs="Times New Roman"/>
        </w:rPr>
        <w:t>Measuring youth outcomes from alcohol and drug treatment.</w:t>
      </w:r>
      <w:proofErr w:type="gramEnd"/>
      <w:r>
        <w:rPr>
          <w:rFonts w:cs="Times New Roman"/>
        </w:rPr>
        <w:t xml:space="preserve"> </w:t>
      </w:r>
      <w:r>
        <w:rPr>
          <w:rFonts w:cs="Times New Roman"/>
          <w:i/>
        </w:rPr>
        <w:t>Addiction</w:t>
      </w:r>
      <w:r>
        <w:rPr>
          <w:rFonts w:cs="Times New Roman"/>
        </w:rPr>
        <w:t>, 99 (Suppl. 2): 38-46.</w:t>
      </w:r>
    </w:p>
    <w:p w:rsidR="00F558D9" w:rsidRDefault="00F558D9" w:rsidP="003419D5">
      <w:pPr>
        <w:autoSpaceDE w:val="0"/>
        <w:autoSpaceDN w:val="0"/>
        <w:adjustRightInd w:val="0"/>
        <w:spacing w:after="0" w:line="240" w:lineRule="auto"/>
        <w:rPr>
          <w:rFonts w:cs="Times New Roman"/>
        </w:rPr>
      </w:pPr>
    </w:p>
    <w:p w:rsidR="00425D3E" w:rsidRPr="00782DE6" w:rsidRDefault="00425D3E" w:rsidP="00782DE6">
      <w:pPr>
        <w:autoSpaceDE w:val="0"/>
        <w:autoSpaceDN w:val="0"/>
        <w:adjustRightInd w:val="0"/>
        <w:spacing w:after="0" w:line="240" w:lineRule="auto"/>
        <w:ind w:left="426" w:hanging="426"/>
        <w:rPr>
          <w:rFonts w:cs="Times New Roman"/>
        </w:rPr>
      </w:pPr>
      <w:r>
        <w:rPr>
          <w:rFonts w:cs="Times New Roman"/>
        </w:rPr>
        <w:t xml:space="preserve">Buffington, K., </w:t>
      </w:r>
      <w:proofErr w:type="spellStart"/>
      <w:r>
        <w:rPr>
          <w:rFonts w:cs="Times New Roman"/>
        </w:rPr>
        <w:t>Dierkhising</w:t>
      </w:r>
      <w:proofErr w:type="spellEnd"/>
      <w:r>
        <w:rPr>
          <w:rFonts w:cs="Times New Roman"/>
        </w:rPr>
        <w:t xml:space="preserve">, C.B. &amp; Marsh, S. (2010). </w:t>
      </w:r>
      <w:r w:rsidR="00782DE6">
        <w:rPr>
          <w:rFonts w:cs="Times New Roman"/>
          <w:i/>
        </w:rPr>
        <w:t xml:space="preserve">Technical Assistance Bulletin: Ten Things Every Juvenile Court Judge Should Know About Trauma and Delinquency. </w:t>
      </w:r>
      <w:r w:rsidR="00782DE6">
        <w:rPr>
          <w:rFonts w:cs="Times New Roman"/>
        </w:rPr>
        <w:t>Reno, NV: National Council of Juvenile and Family Court Judges.</w:t>
      </w:r>
    </w:p>
    <w:p w:rsidR="00425D3E" w:rsidRDefault="00425D3E" w:rsidP="003419D5">
      <w:pPr>
        <w:autoSpaceDE w:val="0"/>
        <w:autoSpaceDN w:val="0"/>
        <w:adjustRightInd w:val="0"/>
        <w:spacing w:after="0" w:line="240" w:lineRule="auto"/>
        <w:rPr>
          <w:rFonts w:cs="Times New Roman"/>
        </w:rPr>
      </w:pPr>
    </w:p>
    <w:p w:rsidR="00AB2E6B" w:rsidRPr="00AB2E6B" w:rsidRDefault="00AB2E6B" w:rsidP="00AB2E6B">
      <w:pPr>
        <w:autoSpaceDE w:val="0"/>
        <w:autoSpaceDN w:val="0"/>
        <w:adjustRightInd w:val="0"/>
        <w:spacing w:after="0" w:line="240" w:lineRule="auto"/>
        <w:ind w:left="426" w:hanging="426"/>
        <w:rPr>
          <w:rFonts w:cs="Times New Roman"/>
        </w:rPr>
      </w:pPr>
      <w:proofErr w:type="gramStart"/>
      <w:r>
        <w:rPr>
          <w:rFonts w:cs="Times New Roman"/>
        </w:rPr>
        <w:t xml:space="preserve">Cohen, M.G., </w:t>
      </w:r>
      <w:proofErr w:type="spellStart"/>
      <w:r>
        <w:rPr>
          <w:rFonts w:cs="Times New Roman"/>
        </w:rPr>
        <w:t>Wupperman</w:t>
      </w:r>
      <w:proofErr w:type="spellEnd"/>
      <w:r>
        <w:rPr>
          <w:rFonts w:cs="Times New Roman"/>
        </w:rPr>
        <w:t>, P. &amp; Tau, G. (2013).</w:t>
      </w:r>
      <w:proofErr w:type="gramEnd"/>
      <w:r>
        <w:rPr>
          <w:rFonts w:cs="Times New Roman"/>
        </w:rPr>
        <w:t xml:space="preserve"> </w:t>
      </w:r>
      <w:proofErr w:type="gramStart"/>
      <w:r>
        <w:rPr>
          <w:rFonts w:cs="Times New Roman"/>
        </w:rPr>
        <w:t>Mindfulness in the Treatment of Adolescents with Problem Substance Use.</w:t>
      </w:r>
      <w:proofErr w:type="gramEnd"/>
      <w:r>
        <w:rPr>
          <w:rFonts w:cs="Times New Roman"/>
        </w:rPr>
        <w:t xml:space="preserve"> </w:t>
      </w:r>
      <w:r>
        <w:rPr>
          <w:rFonts w:cs="Times New Roman"/>
          <w:i/>
        </w:rPr>
        <w:t>Adolescent Psychiatry</w:t>
      </w:r>
      <w:r>
        <w:rPr>
          <w:rFonts w:cs="Times New Roman"/>
        </w:rPr>
        <w:t>, 3: 172-183.</w:t>
      </w:r>
    </w:p>
    <w:p w:rsidR="00AB2E6B" w:rsidRDefault="00AB2E6B" w:rsidP="003419D5">
      <w:pPr>
        <w:autoSpaceDE w:val="0"/>
        <w:autoSpaceDN w:val="0"/>
        <w:adjustRightInd w:val="0"/>
        <w:spacing w:after="0" w:line="240" w:lineRule="auto"/>
        <w:rPr>
          <w:rFonts w:cs="Times New Roman"/>
        </w:rPr>
      </w:pPr>
    </w:p>
    <w:p w:rsidR="00691D02" w:rsidRPr="00691D02" w:rsidRDefault="00691D02" w:rsidP="00691D02">
      <w:pPr>
        <w:autoSpaceDE w:val="0"/>
        <w:autoSpaceDN w:val="0"/>
        <w:adjustRightInd w:val="0"/>
        <w:spacing w:after="0" w:line="240" w:lineRule="auto"/>
        <w:ind w:left="426" w:hanging="426"/>
        <w:rPr>
          <w:rFonts w:cs="Times New Roman"/>
        </w:rPr>
      </w:pPr>
      <w:proofErr w:type="spellStart"/>
      <w:proofErr w:type="gramStart"/>
      <w:r>
        <w:rPr>
          <w:rFonts w:cs="Times New Roman"/>
        </w:rPr>
        <w:t>Comeau</w:t>
      </w:r>
      <w:proofErr w:type="spellEnd"/>
      <w:r>
        <w:rPr>
          <w:rFonts w:cs="Times New Roman"/>
        </w:rPr>
        <w:t xml:space="preserve">, N., Stewart, S.H., </w:t>
      </w:r>
      <w:proofErr w:type="spellStart"/>
      <w:r>
        <w:rPr>
          <w:rFonts w:cs="Times New Roman"/>
        </w:rPr>
        <w:t>Mushquash</w:t>
      </w:r>
      <w:proofErr w:type="spellEnd"/>
      <w:r>
        <w:rPr>
          <w:rFonts w:cs="Times New Roman"/>
        </w:rPr>
        <w:t xml:space="preserve">, C., </w:t>
      </w:r>
      <w:proofErr w:type="spellStart"/>
      <w:r>
        <w:rPr>
          <w:rFonts w:cs="Times New Roman"/>
        </w:rPr>
        <w:t>Wojcik</w:t>
      </w:r>
      <w:proofErr w:type="spellEnd"/>
      <w:r>
        <w:rPr>
          <w:rFonts w:cs="Times New Roman"/>
        </w:rPr>
        <w:t>, D., Bartlett, C., Marshall, M., Young, J. &amp; Stevens, D. (2005).</w:t>
      </w:r>
      <w:proofErr w:type="gramEnd"/>
      <w:r>
        <w:rPr>
          <w:rFonts w:cs="Times New Roman"/>
        </w:rPr>
        <w:t xml:space="preserve"> </w:t>
      </w:r>
      <w:proofErr w:type="gramStart"/>
      <w:r>
        <w:rPr>
          <w:rFonts w:cs="Times New Roman"/>
        </w:rPr>
        <w:t>Community Collaboration in Developing a Culturally Relevant Alcohol Abuse Early Intervention Program for First Nation Youth.</w:t>
      </w:r>
      <w:proofErr w:type="gramEnd"/>
      <w:r>
        <w:rPr>
          <w:rFonts w:cs="Times New Roman"/>
        </w:rPr>
        <w:t xml:space="preserve"> </w:t>
      </w:r>
      <w:r>
        <w:rPr>
          <w:rFonts w:cs="Times New Roman"/>
          <w:i/>
        </w:rPr>
        <w:t>OACAS Journal</w:t>
      </w:r>
      <w:r>
        <w:rPr>
          <w:rFonts w:cs="Times New Roman"/>
        </w:rPr>
        <w:t xml:space="preserve">, </w:t>
      </w:r>
      <w:proofErr w:type="spellStart"/>
      <w:r>
        <w:rPr>
          <w:rFonts w:cs="Times New Roman"/>
        </w:rPr>
        <w:t>Vol</w:t>
      </w:r>
      <w:proofErr w:type="spellEnd"/>
      <w:r>
        <w:rPr>
          <w:rFonts w:cs="Times New Roman"/>
        </w:rPr>
        <w:t xml:space="preserve"> 49 (1): 39-46.</w:t>
      </w:r>
    </w:p>
    <w:p w:rsidR="00691D02" w:rsidRDefault="00691D02" w:rsidP="003419D5">
      <w:pPr>
        <w:autoSpaceDE w:val="0"/>
        <w:autoSpaceDN w:val="0"/>
        <w:adjustRightInd w:val="0"/>
        <w:spacing w:after="0" w:line="240" w:lineRule="auto"/>
        <w:rPr>
          <w:rFonts w:cs="Times New Roman"/>
        </w:rPr>
      </w:pPr>
    </w:p>
    <w:p w:rsidR="003419D5" w:rsidRDefault="003419D5" w:rsidP="003419D5">
      <w:pPr>
        <w:autoSpaceDE w:val="0"/>
        <w:autoSpaceDN w:val="0"/>
        <w:adjustRightInd w:val="0"/>
        <w:spacing w:after="0" w:line="240" w:lineRule="auto"/>
        <w:ind w:left="450" w:hanging="450"/>
        <w:rPr>
          <w:rFonts w:cs="Times New Roman"/>
        </w:rPr>
      </w:pPr>
      <w:proofErr w:type="gramStart"/>
      <w:r>
        <w:rPr>
          <w:rFonts w:cs="StoneSerif"/>
          <w:color w:val="231F20"/>
        </w:rPr>
        <w:t>Controlled Substance and Tobacco Directorate.</w:t>
      </w:r>
      <w:proofErr w:type="gramEnd"/>
      <w:r>
        <w:rPr>
          <w:rFonts w:cs="StoneSerif"/>
          <w:color w:val="231F20"/>
        </w:rPr>
        <w:t xml:space="preserve"> (2014) </w:t>
      </w:r>
      <w:r>
        <w:rPr>
          <w:rFonts w:cs="StoneSerif"/>
          <w:i/>
          <w:color w:val="231F20"/>
        </w:rPr>
        <w:t>Canadian Alcohol and Drug Use Monitoring Survey 2012</w:t>
      </w:r>
      <w:r>
        <w:rPr>
          <w:rFonts w:cs="StoneSerif"/>
          <w:color w:val="231F20"/>
        </w:rPr>
        <w:t>. Ottawa, ON: Health Canada.</w:t>
      </w:r>
    </w:p>
    <w:p w:rsidR="003419D5" w:rsidRDefault="003419D5" w:rsidP="003419D5">
      <w:pPr>
        <w:autoSpaceDE w:val="0"/>
        <w:autoSpaceDN w:val="0"/>
        <w:adjustRightInd w:val="0"/>
        <w:spacing w:after="0" w:line="240" w:lineRule="auto"/>
        <w:rPr>
          <w:rFonts w:cs="Times New Roman"/>
        </w:rPr>
      </w:pPr>
    </w:p>
    <w:p w:rsidR="00600A3E" w:rsidRPr="00600A3E" w:rsidRDefault="00600A3E" w:rsidP="00600A3E">
      <w:pPr>
        <w:autoSpaceDE w:val="0"/>
        <w:autoSpaceDN w:val="0"/>
        <w:adjustRightInd w:val="0"/>
        <w:spacing w:after="0" w:line="240" w:lineRule="auto"/>
        <w:ind w:left="426" w:hanging="426"/>
        <w:rPr>
          <w:rFonts w:cs="Times New Roman"/>
        </w:rPr>
      </w:pPr>
      <w:proofErr w:type="spellStart"/>
      <w:proofErr w:type="gramStart"/>
      <w:r>
        <w:rPr>
          <w:rFonts w:cs="Times New Roman"/>
        </w:rPr>
        <w:t>Corrado</w:t>
      </w:r>
      <w:proofErr w:type="spellEnd"/>
      <w:r>
        <w:rPr>
          <w:rFonts w:cs="Times New Roman"/>
        </w:rPr>
        <w:t xml:space="preserve">, R., Freedman, L.F. &amp; </w:t>
      </w:r>
      <w:proofErr w:type="spellStart"/>
      <w:r>
        <w:rPr>
          <w:rFonts w:cs="Times New Roman"/>
        </w:rPr>
        <w:t>Blatier</w:t>
      </w:r>
      <w:proofErr w:type="spellEnd"/>
      <w:r>
        <w:rPr>
          <w:rFonts w:cs="Times New Roman"/>
        </w:rPr>
        <w:t>, C. (2011).</w:t>
      </w:r>
      <w:proofErr w:type="gramEnd"/>
      <w:r>
        <w:rPr>
          <w:rFonts w:cs="Times New Roman"/>
        </w:rPr>
        <w:t xml:space="preserve"> The Over-representation of Children in Care in the Youth Criminal Justice System in British Columbia: Theory and Policy Issues. </w:t>
      </w:r>
      <w:r>
        <w:rPr>
          <w:rFonts w:cs="Times New Roman"/>
          <w:i/>
        </w:rPr>
        <w:t>International Journal of Child, Youth and Family Studies</w:t>
      </w:r>
      <w:r>
        <w:rPr>
          <w:rFonts w:cs="Times New Roman"/>
        </w:rPr>
        <w:t>, 1 &amp; 2: 99-118.</w:t>
      </w:r>
    </w:p>
    <w:p w:rsidR="00600A3E" w:rsidRDefault="00600A3E" w:rsidP="003419D5">
      <w:pPr>
        <w:autoSpaceDE w:val="0"/>
        <w:autoSpaceDN w:val="0"/>
        <w:adjustRightInd w:val="0"/>
        <w:spacing w:after="0" w:line="240" w:lineRule="auto"/>
        <w:rPr>
          <w:rFonts w:cs="Times New Roman"/>
        </w:rPr>
      </w:pPr>
    </w:p>
    <w:p w:rsidR="000A071B" w:rsidRDefault="00FE1B5D" w:rsidP="00C87448">
      <w:pPr>
        <w:autoSpaceDE w:val="0"/>
        <w:autoSpaceDN w:val="0"/>
        <w:adjustRightInd w:val="0"/>
        <w:spacing w:after="0" w:line="240" w:lineRule="auto"/>
        <w:ind w:left="426" w:hanging="426"/>
        <w:rPr>
          <w:rFonts w:cs="Times New Roman"/>
        </w:rPr>
      </w:pPr>
      <w:proofErr w:type="gramStart"/>
      <w:r>
        <w:rPr>
          <w:rFonts w:cs="HelveticaNeueLTStd-Th"/>
        </w:rPr>
        <w:t xml:space="preserve">Cotter, A., Greenland, J. &amp; </w:t>
      </w:r>
      <w:proofErr w:type="spellStart"/>
      <w:r>
        <w:rPr>
          <w:rFonts w:cs="HelveticaNeueLTStd-Th"/>
        </w:rPr>
        <w:t>Karam</w:t>
      </w:r>
      <w:proofErr w:type="spellEnd"/>
      <w:r>
        <w:rPr>
          <w:rFonts w:cs="HelveticaNeueLTStd-Th"/>
        </w:rPr>
        <w:t>, M. (2015).</w:t>
      </w:r>
      <w:proofErr w:type="gramEnd"/>
      <w:r>
        <w:rPr>
          <w:rFonts w:cs="HelveticaNeueLTStd-Th"/>
        </w:rPr>
        <w:t xml:space="preserve"> </w:t>
      </w:r>
      <w:proofErr w:type="gramStart"/>
      <w:r>
        <w:rPr>
          <w:rFonts w:cs="HelveticaNeueLTStd-Th"/>
          <w:i/>
        </w:rPr>
        <w:t>Drug-related offences in Canada, 2013.</w:t>
      </w:r>
      <w:proofErr w:type="gramEnd"/>
      <w:r>
        <w:rPr>
          <w:rFonts w:cs="HelveticaNeueLTStd-Th"/>
          <w:i/>
        </w:rPr>
        <w:t xml:space="preserve"> </w:t>
      </w:r>
      <w:r>
        <w:rPr>
          <w:rFonts w:cs="HelveticaNeueLTStd-Th"/>
        </w:rPr>
        <w:t xml:space="preserve">Ottawa, ON: Canadian Centre for </w:t>
      </w:r>
      <w:r>
        <w:rPr>
          <w:rFonts w:cs="Times New Roman"/>
        </w:rPr>
        <w:t xml:space="preserve">Justice Statistics. </w:t>
      </w:r>
      <w:proofErr w:type="gramStart"/>
      <w:r>
        <w:rPr>
          <w:rFonts w:cs="Times New Roman"/>
        </w:rPr>
        <w:t>Statistics Canada Catalogue no. 85-002-x, ISSN 1209-6</w:t>
      </w:r>
      <w:r w:rsidR="006A7E2D">
        <w:rPr>
          <w:rFonts w:cs="Times New Roman"/>
        </w:rPr>
        <w:t>393.</w:t>
      </w:r>
      <w:proofErr w:type="gramEnd"/>
    </w:p>
    <w:p w:rsidR="000A071B" w:rsidRDefault="000A071B" w:rsidP="003419D5">
      <w:pPr>
        <w:autoSpaceDE w:val="0"/>
        <w:autoSpaceDN w:val="0"/>
        <w:adjustRightInd w:val="0"/>
        <w:spacing w:after="0" w:line="240" w:lineRule="auto"/>
        <w:rPr>
          <w:rFonts w:cs="Times New Roman"/>
        </w:rPr>
      </w:pPr>
    </w:p>
    <w:p w:rsidR="002216DD" w:rsidRDefault="002216DD" w:rsidP="003419D5">
      <w:pPr>
        <w:autoSpaceDE w:val="0"/>
        <w:autoSpaceDN w:val="0"/>
        <w:adjustRightInd w:val="0"/>
        <w:spacing w:after="0" w:line="240" w:lineRule="auto"/>
        <w:rPr>
          <w:rFonts w:cs="Times New Roman"/>
        </w:rPr>
      </w:pPr>
      <w:proofErr w:type="spellStart"/>
      <w:proofErr w:type="gramStart"/>
      <w:r>
        <w:rPr>
          <w:rFonts w:cs="Times New Roman"/>
        </w:rPr>
        <w:t>Coyhis</w:t>
      </w:r>
      <w:proofErr w:type="spellEnd"/>
      <w:r>
        <w:rPr>
          <w:rFonts w:cs="Times New Roman"/>
        </w:rPr>
        <w:t>, D. &amp; White, W. L. (2002).</w:t>
      </w:r>
      <w:proofErr w:type="gramEnd"/>
      <w:r>
        <w:rPr>
          <w:rFonts w:cs="Times New Roman"/>
        </w:rPr>
        <w:t xml:space="preserve"> Alcohol Problems in Native America: Changing Paradigms and Clinical Practices. Williamwhitepapers.com. Retrieved from </w:t>
      </w:r>
      <w:hyperlink r:id="rId12" w:history="1">
        <w:r w:rsidRPr="00444612">
          <w:rPr>
            <w:rStyle w:val="Hyperlink"/>
            <w:rFonts w:cs="Times New Roman"/>
          </w:rPr>
          <w:t>http://www.mobile.williamwhitepapers.com//pr/2002AlcoholProblemsinNativeAmerica.pdf</w:t>
        </w:r>
      </w:hyperlink>
      <w:r>
        <w:rPr>
          <w:rFonts w:cs="Times New Roman"/>
        </w:rPr>
        <w:t xml:space="preserve"> </w:t>
      </w:r>
    </w:p>
    <w:p w:rsidR="002216DD" w:rsidRDefault="002216DD" w:rsidP="003419D5">
      <w:pPr>
        <w:autoSpaceDE w:val="0"/>
        <w:autoSpaceDN w:val="0"/>
        <w:adjustRightInd w:val="0"/>
        <w:spacing w:after="0" w:line="240" w:lineRule="auto"/>
        <w:rPr>
          <w:rFonts w:cs="Times New Roman"/>
        </w:rPr>
      </w:pPr>
    </w:p>
    <w:p w:rsidR="003419D5" w:rsidRDefault="003419D5" w:rsidP="003419D5">
      <w:pPr>
        <w:autoSpaceDE w:val="0"/>
        <w:autoSpaceDN w:val="0"/>
        <w:adjustRightInd w:val="0"/>
        <w:spacing w:after="0" w:line="240" w:lineRule="auto"/>
        <w:ind w:left="450" w:hanging="450"/>
        <w:rPr>
          <w:rFonts w:cs="Times New Roman"/>
        </w:rPr>
      </w:pPr>
      <w:proofErr w:type="gramStart"/>
      <w:r w:rsidRPr="00F27FA9">
        <w:rPr>
          <w:rFonts w:cs="Calibri"/>
          <w:color w:val="000000"/>
        </w:rPr>
        <w:lastRenderedPageBreak/>
        <w:t xml:space="preserve">Cox, K., Smith, A., </w:t>
      </w:r>
      <w:proofErr w:type="spellStart"/>
      <w:r w:rsidRPr="00F27FA9">
        <w:rPr>
          <w:rFonts w:cs="Calibri"/>
          <w:color w:val="000000"/>
        </w:rPr>
        <w:t>Peled</w:t>
      </w:r>
      <w:proofErr w:type="spellEnd"/>
      <w:r w:rsidRPr="00F27FA9">
        <w:rPr>
          <w:rFonts w:cs="Calibri"/>
          <w:color w:val="000000"/>
        </w:rPr>
        <w:t>, M., and McCreary Centre Society (2013).</w:t>
      </w:r>
      <w:proofErr w:type="gramEnd"/>
      <w:r w:rsidRPr="00F27FA9">
        <w:rPr>
          <w:rFonts w:cs="Calibri"/>
          <w:color w:val="000000"/>
        </w:rPr>
        <w:t xml:space="preserve"> </w:t>
      </w:r>
      <w:proofErr w:type="gramStart"/>
      <w:r w:rsidRPr="00F27FA9">
        <w:rPr>
          <w:rFonts w:cs="Calibri"/>
          <w:i/>
          <w:color w:val="000000"/>
        </w:rPr>
        <w:t>Becoming whole: Youth voices informing substance use system planning</w:t>
      </w:r>
      <w:r w:rsidRPr="00F27FA9">
        <w:rPr>
          <w:rFonts w:cs="Calibri"/>
          <w:color w:val="000000"/>
        </w:rPr>
        <w:t>.</w:t>
      </w:r>
      <w:proofErr w:type="gramEnd"/>
      <w:r w:rsidRPr="00F27FA9">
        <w:rPr>
          <w:rFonts w:cs="Calibri"/>
          <w:color w:val="000000"/>
        </w:rPr>
        <w:t xml:space="preserve"> Vancouver, BC: McCreary Centre Society.</w:t>
      </w:r>
    </w:p>
    <w:p w:rsidR="003419D5" w:rsidRDefault="003419D5" w:rsidP="003419D5">
      <w:pPr>
        <w:autoSpaceDE w:val="0"/>
        <w:autoSpaceDN w:val="0"/>
        <w:adjustRightInd w:val="0"/>
        <w:spacing w:after="0" w:line="240" w:lineRule="auto"/>
        <w:rPr>
          <w:rFonts w:cs="StoneSerif"/>
          <w:color w:val="231F20"/>
        </w:rPr>
      </w:pPr>
    </w:p>
    <w:p w:rsidR="00B34834" w:rsidRDefault="00B34834" w:rsidP="003F23F9">
      <w:pPr>
        <w:autoSpaceDE w:val="0"/>
        <w:autoSpaceDN w:val="0"/>
        <w:adjustRightInd w:val="0"/>
        <w:spacing w:after="0" w:line="240" w:lineRule="auto"/>
        <w:ind w:left="426" w:hanging="426"/>
        <w:rPr>
          <w:rFonts w:cs="StoneSerif"/>
          <w:color w:val="231F20"/>
        </w:rPr>
      </w:pPr>
      <w:proofErr w:type="spellStart"/>
      <w:r w:rsidRPr="00C47305">
        <w:rPr>
          <w:rFonts w:cs="Times New Roman"/>
        </w:rPr>
        <w:t>Deas</w:t>
      </w:r>
      <w:proofErr w:type="spellEnd"/>
      <w:r>
        <w:rPr>
          <w:rFonts w:cs="Times New Roman"/>
        </w:rPr>
        <w:t xml:space="preserve">, D. &amp; </w:t>
      </w:r>
      <w:r w:rsidRPr="00C47305">
        <w:rPr>
          <w:rFonts w:cs="Times New Roman"/>
        </w:rPr>
        <w:t>Thomas</w:t>
      </w:r>
      <w:r>
        <w:rPr>
          <w:rFonts w:cs="Times New Roman"/>
        </w:rPr>
        <w:t>, S.E.</w:t>
      </w:r>
      <w:r w:rsidRPr="00C47305">
        <w:rPr>
          <w:rFonts w:cs="Times New Roman"/>
        </w:rPr>
        <w:t xml:space="preserve"> Ph.D. (2001) </w:t>
      </w:r>
      <w:proofErr w:type="gramStart"/>
      <w:r w:rsidRPr="00C47305">
        <w:rPr>
          <w:rFonts w:cs="Times New Roman"/>
        </w:rPr>
        <w:t>An</w:t>
      </w:r>
      <w:proofErr w:type="gramEnd"/>
      <w:r w:rsidRPr="00C47305">
        <w:rPr>
          <w:rFonts w:cs="Times New Roman"/>
        </w:rPr>
        <w:t xml:space="preserve"> Overview of Controlled Studies of Adolescent Substance Abuse Treatment. </w:t>
      </w:r>
      <w:r w:rsidRPr="00B34834">
        <w:rPr>
          <w:rFonts w:cs="Times New Roman"/>
          <w:i/>
        </w:rPr>
        <w:t>The American Journal on Addictions</w:t>
      </w:r>
      <w:r w:rsidRPr="00C47305">
        <w:rPr>
          <w:rFonts w:cs="Times New Roman"/>
        </w:rPr>
        <w:t xml:space="preserve"> Volume 10, Issue 2 </w:t>
      </w:r>
      <w:proofErr w:type="gramStart"/>
      <w:r w:rsidRPr="00C47305">
        <w:rPr>
          <w:rFonts w:cs="Times New Roman"/>
        </w:rPr>
        <w:t>Spring</w:t>
      </w:r>
      <w:proofErr w:type="gramEnd"/>
      <w:r w:rsidRPr="00C47305">
        <w:rPr>
          <w:rFonts w:cs="Times New Roman"/>
        </w:rPr>
        <w:t xml:space="preserve"> 2001 Pages 178–189</w:t>
      </w:r>
      <w:r w:rsidR="00191840">
        <w:rPr>
          <w:rFonts w:cs="Times New Roman"/>
        </w:rPr>
        <w:t>.</w:t>
      </w:r>
    </w:p>
    <w:p w:rsidR="00B34834" w:rsidRDefault="00B34834" w:rsidP="003419D5">
      <w:pPr>
        <w:autoSpaceDE w:val="0"/>
        <w:autoSpaceDN w:val="0"/>
        <w:adjustRightInd w:val="0"/>
        <w:spacing w:after="0" w:line="240" w:lineRule="auto"/>
        <w:rPr>
          <w:rFonts w:cs="StoneSerif"/>
          <w:color w:val="231F20"/>
        </w:rPr>
      </w:pPr>
    </w:p>
    <w:p w:rsidR="00CB7DDE" w:rsidRPr="00CB7DDE" w:rsidRDefault="00CB7DDE" w:rsidP="00322542">
      <w:pPr>
        <w:autoSpaceDE w:val="0"/>
        <w:autoSpaceDN w:val="0"/>
        <w:adjustRightInd w:val="0"/>
        <w:spacing w:after="0" w:line="240" w:lineRule="auto"/>
        <w:ind w:left="426" w:hanging="426"/>
        <w:rPr>
          <w:rFonts w:cs="StoneSerif"/>
          <w:color w:val="231F20"/>
        </w:rPr>
      </w:pPr>
      <w:proofErr w:type="gramStart"/>
      <w:r>
        <w:rPr>
          <w:rFonts w:cs="StoneSerif"/>
          <w:color w:val="231F20"/>
        </w:rPr>
        <w:t>Dell, C.A., Dell, D.E. &amp; Hopkins, C. (2005).</w:t>
      </w:r>
      <w:proofErr w:type="gramEnd"/>
      <w:r>
        <w:rPr>
          <w:rFonts w:cs="StoneSerif"/>
          <w:color w:val="231F20"/>
        </w:rPr>
        <w:t xml:space="preserve"> </w:t>
      </w:r>
      <w:proofErr w:type="gramStart"/>
      <w:r>
        <w:rPr>
          <w:rFonts w:cs="StoneSerif"/>
          <w:color w:val="231F20"/>
        </w:rPr>
        <w:t>Resiliency</w:t>
      </w:r>
      <w:r w:rsidR="00322542">
        <w:rPr>
          <w:rFonts w:cs="StoneSerif"/>
          <w:color w:val="231F20"/>
        </w:rPr>
        <w:t xml:space="preserve"> and Holistic Inhalant Abuse Treatment.</w:t>
      </w:r>
      <w:proofErr w:type="gramEnd"/>
      <w:r w:rsidR="00322542">
        <w:rPr>
          <w:rFonts w:cs="StoneSerif"/>
          <w:color w:val="231F20"/>
        </w:rPr>
        <w:t xml:space="preserve"> </w:t>
      </w:r>
      <w:r>
        <w:rPr>
          <w:rFonts w:cs="StoneSerif"/>
          <w:i/>
          <w:color w:val="231F20"/>
        </w:rPr>
        <w:t>Journal of Aboriginal Health</w:t>
      </w:r>
      <w:r>
        <w:rPr>
          <w:rFonts w:cs="StoneSerif"/>
          <w:color w:val="231F20"/>
        </w:rPr>
        <w:t>, March 2005: 4-12.</w:t>
      </w:r>
    </w:p>
    <w:p w:rsidR="00CB7DDE" w:rsidRPr="00CB7DDE" w:rsidRDefault="00CB7DDE" w:rsidP="003419D5">
      <w:pPr>
        <w:autoSpaceDE w:val="0"/>
        <w:autoSpaceDN w:val="0"/>
        <w:adjustRightInd w:val="0"/>
        <w:spacing w:after="0" w:line="240" w:lineRule="auto"/>
        <w:rPr>
          <w:rFonts w:cs="StoneSerif"/>
          <w:i/>
          <w:color w:val="231F20"/>
        </w:rPr>
      </w:pPr>
    </w:p>
    <w:p w:rsidR="00957F66" w:rsidRPr="00160370" w:rsidRDefault="00957F66" w:rsidP="00691D02">
      <w:pPr>
        <w:autoSpaceDE w:val="0"/>
        <w:autoSpaceDN w:val="0"/>
        <w:adjustRightInd w:val="0"/>
        <w:spacing w:after="0" w:line="240" w:lineRule="auto"/>
        <w:ind w:left="426" w:hanging="426"/>
        <w:rPr>
          <w:rFonts w:cs="StoneSerif"/>
          <w:color w:val="231F20"/>
        </w:rPr>
      </w:pPr>
      <w:proofErr w:type="gramStart"/>
      <w:r>
        <w:rPr>
          <w:rFonts w:cs="StoneSerif"/>
          <w:color w:val="231F20"/>
        </w:rPr>
        <w:t xml:space="preserve">Diamond, G., Godley, S.H., </w:t>
      </w:r>
      <w:proofErr w:type="spellStart"/>
      <w:r>
        <w:rPr>
          <w:rFonts w:cs="StoneSerif"/>
          <w:color w:val="231F20"/>
        </w:rPr>
        <w:t>Liddle</w:t>
      </w:r>
      <w:proofErr w:type="spellEnd"/>
      <w:r>
        <w:rPr>
          <w:rFonts w:cs="StoneSerif"/>
          <w:color w:val="231F20"/>
        </w:rPr>
        <w:t xml:space="preserve">, H.A., </w:t>
      </w:r>
      <w:proofErr w:type="spellStart"/>
      <w:r>
        <w:rPr>
          <w:rFonts w:cs="StoneSerif"/>
          <w:color w:val="231F20"/>
        </w:rPr>
        <w:t>Sampl</w:t>
      </w:r>
      <w:proofErr w:type="spellEnd"/>
      <w:r w:rsidR="00160370">
        <w:rPr>
          <w:rFonts w:cs="StoneSerif"/>
          <w:color w:val="231F20"/>
        </w:rPr>
        <w:t xml:space="preserve">, S. Webb, C, </w:t>
      </w:r>
      <w:proofErr w:type="spellStart"/>
      <w:r w:rsidR="00160370">
        <w:rPr>
          <w:rFonts w:cs="StoneSerif"/>
          <w:color w:val="231F20"/>
        </w:rPr>
        <w:t>Tims</w:t>
      </w:r>
      <w:proofErr w:type="spellEnd"/>
      <w:r w:rsidR="00160370">
        <w:rPr>
          <w:rFonts w:cs="StoneSerif"/>
          <w:color w:val="231F20"/>
        </w:rPr>
        <w:t>, F.M. &amp; Meyers, R. (2002).</w:t>
      </w:r>
      <w:proofErr w:type="gramEnd"/>
      <w:r w:rsidR="00160370">
        <w:rPr>
          <w:rFonts w:cs="StoneSerif"/>
          <w:color w:val="231F20"/>
        </w:rPr>
        <w:t xml:space="preserve"> Five outpatient treatment models for adolescent marijuana use: a description of the Cannabis Youth Treatment Interventions. </w:t>
      </w:r>
      <w:r w:rsidR="00160370">
        <w:rPr>
          <w:rFonts w:cs="StoneSerif"/>
          <w:i/>
          <w:color w:val="231F20"/>
        </w:rPr>
        <w:t>Addiction</w:t>
      </w:r>
      <w:r w:rsidR="00160370">
        <w:rPr>
          <w:rFonts w:cs="StoneSerif"/>
          <w:color w:val="231F20"/>
        </w:rPr>
        <w:t>, 97 (Suppl1): 70-83.</w:t>
      </w:r>
    </w:p>
    <w:p w:rsidR="00957F66" w:rsidRDefault="00957F66" w:rsidP="003419D5">
      <w:pPr>
        <w:autoSpaceDE w:val="0"/>
        <w:autoSpaceDN w:val="0"/>
        <w:adjustRightInd w:val="0"/>
        <w:spacing w:after="0" w:line="240" w:lineRule="auto"/>
        <w:rPr>
          <w:rFonts w:cs="StoneSerif"/>
          <w:color w:val="231F20"/>
        </w:rPr>
      </w:pPr>
    </w:p>
    <w:p w:rsidR="003419D5" w:rsidRDefault="003419D5" w:rsidP="003419D5">
      <w:pPr>
        <w:autoSpaceDE w:val="0"/>
        <w:autoSpaceDN w:val="0"/>
        <w:adjustRightInd w:val="0"/>
        <w:spacing w:after="0" w:line="240" w:lineRule="auto"/>
        <w:ind w:left="450" w:hanging="450"/>
        <w:rPr>
          <w:rFonts w:cs="StoneSerif"/>
          <w:color w:val="231F20"/>
        </w:rPr>
      </w:pPr>
      <w:r w:rsidRPr="00F27FA9">
        <w:t xml:space="preserve">Dowden, Craig (2004). </w:t>
      </w:r>
      <w:proofErr w:type="gramStart"/>
      <w:r w:rsidRPr="00F27FA9">
        <w:rPr>
          <w:i/>
        </w:rPr>
        <w:t>The Effectiveness of Substance Abuse Treatment with Young Offenders.</w:t>
      </w:r>
      <w:proofErr w:type="gramEnd"/>
      <w:r w:rsidRPr="00F27FA9">
        <w:rPr>
          <w:i/>
        </w:rPr>
        <w:t xml:space="preserve"> </w:t>
      </w:r>
      <w:r w:rsidR="003F23F9" w:rsidRPr="00F27FA9">
        <w:t>Ottawa, ON</w:t>
      </w:r>
      <w:r w:rsidR="003F23F9">
        <w:t>:</w:t>
      </w:r>
      <w:r w:rsidR="003F23F9" w:rsidRPr="00F27FA9">
        <w:t xml:space="preserve"> </w:t>
      </w:r>
      <w:r w:rsidRPr="00F27FA9">
        <w:t xml:space="preserve">Department of Justice, Youth Justice Research </w:t>
      </w:r>
    </w:p>
    <w:p w:rsidR="00333557" w:rsidRDefault="00333557" w:rsidP="003419D5">
      <w:pPr>
        <w:autoSpaceDE w:val="0"/>
        <w:autoSpaceDN w:val="0"/>
        <w:adjustRightInd w:val="0"/>
        <w:spacing w:after="0" w:line="240" w:lineRule="auto"/>
        <w:rPr>
          <w:rFonts w:cs="StoneSerif"/>
          <w:color w:val="231F20"/>
        </w:rPr>
      </w:pPr>
    </w:p>
    <w:p w:rsidR="0004343E" w:rsidRDefault="0004343E" w:rsidP="003F23F9">
      <w:pPr>
        <w:autoSpaceDE w:val="0"/>
        <w:autoSpaceDN w:val="0"/>
        <w:adjustRightInd w:val="0"/>
        <w:spacing w:after="0" w:line="240" w:lineRule="auto"/>
        <w:ind w:left="426" w:hanging="426"/>
        <w:rPr>
          <w:rFonts w:cs="StoneSerif"/>
          <w:color w:val="231F20"/>
        </w:rPr>
      </w:pPr>
      <w:r w:rsidRPr="00930C99">
        <w:t>Erickson</w:t>
      </w:r>
      <w:r w:rsidR="003F23F9">
        <w:t>,</w:t>
      </w:r>
      <w:r>
        <w:t xml:space="preserve"> P.G. &amp; Butters </w:t>
      </w:r>
      <w:r w:rsidRPr="00930C99">
        <w:t>J</w:t>
      </w:r>
      <w:r>
        <w:t>.</w:t>
      </w:r>
      <w:r w:rsidRPr="00930C99">
        <w:t xml:space="preserve">E. </w:t>
      </w:r>
      <w:proofErr w:type="gramStart"/>
      <w:r>
        <w:t>( 2005</w:t>
      </w:r>
      <w:proofErr w:type="gramEnd"/>
      <w:r>
        <w:t xml:space="preserve">). How Does the Canadian Juvenile Justice System Respond to Detained Youth with Substance Use Associated Problems? </w:t>
      </w:r>
      <w:proofErr w:type="gramStart"/>
      <w:r>
        <w:t>Gaps, Challenges, and Emerging Issues.</w:t>
      </w:r>
      <w:proofErr w:type="gramEnd"/>
      <w:r>
        <w:t xml:space="preserve"> </w:t>
      </w:r>
      <w:r w:rsidRPr="00930C99">
        <w:rPr>
          <w:i/>
        </w:rPr>
        <w:t>Substance Use &amp; Misuse</w:t>
      </w:r>
      <w:r w:rsidRPr="00930C99">
        <w:t>, 40:</w:t>
      </w:r>
      <w:r w:rsidR="00A52566">
        <w:t xml:space="preserve"> </w:t>
      </w:r>
      <w:r w:rsidRPr="00930C99">
        <w:t>953–973</w:t>
      </w:r>
      <w:r>
        <w:t xml:space="preserve">. </w:t>
      </w:r>
      <w:r w:rsidRPr="00930C99">
        <w:t>DOI: 10.1081/JA-200058855</w:t>
      </w:r>
    </w:p>
    <w:p w:rsidR="0004343E" w:rsidRDefault="0004343E" w:rsidP="003419D5">
      <w:pPr>
        <w:autoSpaceDE w:val="0"/>
        <w:autoSpaceDN w:val="0"/>
        <w:adjustRightInd w:val="0"/>
        <w:spacing w:after="0" w:line="240" w:lineRule="auto"/>
        <w:rPr>
          <w:rFonts w:cs="StoneSerif"/>
          <w:color w:val="231F20"/>
        </w:rPr>
      </w:pPr>
    </w:p>
    <w:p w:rsidR="00F558D9" w:rsidRPr="00A52566" w:rsidRDefault="00F558D9" w:rsidP="00A52566">
      <w:pPr>
        <w:autoSpaceDE w:val="0"/>
        <w:autoSpaceDN w:val="0"/>
        <w:adjustRightInd w:val="0"/>
        <w:spacing w:after="0" w:line="240" w:lineRule="auto"/>
        <w:ind w:left="426" w:hanging="426"/>
        <w:rPr>
          <w:rFonts w:cs="StoneSerif"/>
          <w:color w:val="231F20"/>
        </w:rPr>
      </w:pPr>
      <w:proofErr w:type="gramStart"/>
      <w:r>
        <w:rPr>
          <w:rFonts w:cs="StoneSerif"/>
          <w:color w:val="231F20"/>
        </w:rPr>
        <w:t xml:space="preserve">Ford, J.D., Hawke, </w:t>
      </w:r>
      <w:proofErr w:type="spellStart"/>
      <w:r w:rsidR="00A52566">
        <w:rPr>
          <w:rFonts w:cs="StoneSerif"/>
          <w:color w:val="231F20"/>
        </w:rPr>
        <w:t>J.Alessi</w:t>
      </w:r>
      <w:proofErr w:type="spellEnd"/>
      <w:r w:rsidR="00A52566">
        <w:rPr>
          <w:rFonts w:cs="StoneSerif"/>
          <w:color w:val="231F20"/>
        </w:rPr>
        <w:t xml:space="preserve">, S., </w:t>
      </w:r>
      <w:proofErr w:type="spellStart"/>
      <w:r w:rsidR="00A52566">
        <w:rPr>
          <w:rFonts w:cs="StoneSerif"/>
          <w:color w:val="231F20"/>
        </w:rPr>
        <w:t>Ledgerwood</w:t>
      </w:r>
      <w:proofErr w:type="spellEnd"/>
      <w:r w:rsidR="00A52566">
        <w:rPr>
          <w:rFonts w:cs="StoneSerif"/>
          <w:color w:val="231F20"/>
        </w:rPr>
        <w:t xml:space="preserve">, D. &amp; </w:t>
      </w:r>
      <w:proofErr w:type="spellStart"/>
      <w:r w:rsidR="00A52566">
        <w:rPr>
          <w:rFonts w:cs="StoneSerif"/>
          <w:color w:val="231F20"/>
        </w:rPr>
        <w:t>Petry</w:t>
      </w:r>
      <w:proofErr w:type="spellEnd"/>
      <w:r w:rsidR="00A52566">
        <w:rPr>
          <w:rFonts w:cs="StoneSerif"/>
          <w:color w:val="231F20"/>
        </w:rPr>
        <w:t>, N. (2007).</w:t>
      </w:r>
      <w:proofErr w:type="gramEnd"/>
      <w:r w:rsidR="00A52566">
        <w:rPr>
          <w:rFonts w:cs="StoneSerif"/>
          <w:color w:val="231F20"/>
        </w:rPr>
        <w:t xml:space="preserve"> </w:t>
      </w:r>
      <w:proofErr w:type="gramStart"/>
      <w:r w:rsidR="00A52566">
        <w:rPr>
          <w:rFonts w:cs="StoneSerif"/>
          <w:color w:val="231F20"/>
        </w:rPr>
        <w:t>Psychological trauma and PTSD symptoms as predictors of substance dependence treatment outcomes.</w:t>
      </w:r>
      <w:proofErr w:type="gramEnd"/>
      <w:r w:rsidR="00A52566">
        <w:rPr>
          <w:rFonts w:cs="StoneSerif"/>
          <w:color w:val="231F20"/>
        </w:rPr>
        <w:t xml:space="preserve"> </w:t>
      </w:r>
      <w:r w:rsidR="00A52566">
        <w:rPr>
          <w:rFonts w:cs="StoneSerif"/>
          <w:i/>
          <w:color w:val="231F20"/>
        </w:rPr>
        <w:t>Behaviour Research and Therapy</w:t>
      </w:r>
      <w:r w:rsidR="00A52566">
        <w:rPr>
          <w:rFonts w:cs="StoneSerif"/>
          <w:color w:val="231F20"/>
        </w:rPr>
        <w:t>, 45: 2417-2431. Doi:10.1016/j.brat.2007.04.001.</w:t>
      </w:r>
    </w:p>
    <w:p w:rsidR="00F558D9" w:rsidRDefault="00F558D9" w:rsidP="003419D5">
      <w:pPr>
        <w:autoSpaceDE w:val="0"/>
        <w:autoSpaceDN w:val="0"/>
        <w:adjustRightInd w:val="0"/>
        <w:spacing w:after="0" w:line="240" w:lineRule="auto"/>
        <w:rPr>
          <w:rFonts w:cs="StoneSerif"/>
          <w:color w:val="231F20"/>
        </w:rPr>
      </w:pPr>
    </w:p>
    <w:p w:rsidR="000551B4" w:rsidRPr="00367C90" w:rsidRDefault="000551B4" w:rsidP="000551B4">
      <w:pPr>
        <w:autoSpaceDE w:val="0"/>
        <w:autoSpaceDN w:val="0"/>
        <w:adjustRightInd w:val="0"/>
        <w:spacing w:after="0" w:line="240" w:lineRule="auto"/>
        <w:ind w:left="426" w:hanging="426"/>
        <w:rPr>
          <w:rFonts w:cs="Times New Roman"/>
          <w:sz w:val="20"/>
          <w:szCs w:val="20"/>
        </w:rPr>
      </w:pPr>
      <w:r>
        <w:rPr>
          <w:rFonts w:cs="Times New Roman"/>
        </w:rPr>
        <w:t xml:space="preserve">Ford, </w:t>
      </w:r>
      <w:r w:rsidRPr="00367C90">
        <w:rPr>
          <w:rFonts w:cs="Times New Roman"/>
        </w:rPr>
        <w:t>J</w:t>
      </w:r>
      <w:r>
        <w:rPr>
          <w:rFonts w:cs="Times New Roman"/>
        </w:rPr>
        <w:t>.</w:t>
      </w:r>
      <w:r w:rsidRPr="00367C90">
        <w:rPr>
          <w:rFonts w:cs="Times New Roman"/>
        </w:rPr>
        <w:t xml:space="preserve"> D. &amp; </w:t>
      </w:r>
      <w:proofErr w:type="spellStart"/>
      <w:r w:rsidRPr="00367C90">
        <w:rPr>
          <w:rFonts w:cs="Times New Roman"/>
        </w:rPr>
        <w:t>Blaustein</w:t>
      </w:r>
      <w:proofErr w:type="spellEnd"/>
      <w:r>
        <w:rPr>
          <w:rFonts w:cs="Times New Roman"/>
        </w:rPr>
        <w:t>, M.E.</w:t>
      </w:r>
      <w:r w:rsidRPr="00367C90">
        <w:rPr>
          <w:rFonts w:cs="Times New Roman"/>
        </w:rPr>
        <w:t xml:space="preserve"> (2013) Systemic Self-Regulation: A Framework</w:t>
      </w:r>
      <w:r>
        <w:rPr>
          <w:rFonts w:cs="Times New Roman"/>
        </w:rPr>
        <w:t xml:space="preserve"> </w:t>
      </w:r>
      <w:r w:rsidRPr="00367C90">
        <w:rPr>
          <w:rFonts w:cs="Times New Roman"/>
        </w:rPr>
        <w:t>for Trauma-Informed Services in Residential Juvenile Justice</w:t>
      </w:r>
      <w:r>
        <w:rPr>
          <w:rFonts w:cs="Times New Roman"/>
        </w:rPr>
        <w:t xml:space="preserve"> </w:t>
      </w:r>
      <w:r w:rsidRPr="00367C90">
        <w:rPr>
          <w:rFonts w:cs="Times New Roman"/>
        </w:rPr>
        <w:t>Programs</w:t>
      </w:r>
      <w:r>
        <w:rPr>
          <w:rFonts w:cs="Times New Roman"/>
        </w:rPr>
        <w:t xml:space="preserve">. </w:t>
      </w:r>
      <w:proofErr w:type="gramStart"/>
      <w:r>
        <w:rPr>
          <w:rFonts w:cs="Times New Roman"/>
          <w:i/>
        </w:rPr>
        <w:t>Journal of Family Violence</w:t>
      </w:r>
      <w:r>
        <w:rPr>
          <w:rFonts w:cs="Times New Roman"/>
        </w:rPr>
        <w:t>.</w:t>
      </w:r>
      <w:proofErr w:type="gramEnd"/>
      <w:r>
        <w:rPr>
          <w:rFonts w:cs="Times New Roman"/>
        </w:rPr>
        <w:t xml:space="preserve"> </w:t>
      </w:r>
      <w:proofErr w:type="gramStart"/>
      <w:r>
        <w:rPr>
          <w:rFonts w:cs="Times New Roman"/>
        </w:rPr>
        <w:t>Published online 28 August, 2013.</w:t>
      </w:r>
      <w:proofErr w:type="gramEnd"/>
      <w:r>
        <w:rPr>
          <w:rFonts w:cs="Times New Roman"/>
        </w:rPr>
        <w:t xml:space="preserve"> </w:t>
      </w:r>
      <w:r w:rsidRPr="00367C90">
        <w:rPr>
          <w:rFonts w:cs="Times New Roman"/>
          <w:sz w:val="20"/>
          <w:szCs w:val="20"/>
        </w:rPr>
        <w:t>DOI 10.1007/s10896-013-9538-5</w:t>
      </w:r>
    </w:p>
    <w:p w:rsidR="000551B4" w:rsidRDefault="000551B4" w:rsidP="003419D5">
      <w:pPr>
        <w:autoSpaceDE w:val="0"/>
        <w:autoSpaceDN w:val="0"/>
        <w:adjustRightInd w:val="0"/>
        <w:spacing w:after="0" w:line="240" w:lineRule="auto"/>
        <w:rPr>
          <w:rFonts w:cs="StoneSerif"/>
          <w:color w:val="231F20"/>
        </w:rPr>
      </w:pPr>
    </w:p>
    <w:p w:rsidR="003211CF" w:rsidRDefault="003211CF" w:rsidP="003F23F9">
      <w:pPr>
        <w:autoSpaceDE w:val="0"/>
        <w:autoSpaceDN w:val="0"/>
        <w:adjustRightInd w:val="0"/>
        <w:spacing w:after="0" w:line="240" w:lineRule="auto"/>
        <w:ind w:left="426" w:hanging="426"/>
        <w:rPr>
          <w:rFonts w:cs="StoneSerif"/>
          <w:color w:val="231F20"/>
        </w:rPr>
      </w:pPr>
      <w:proofErr w:type="gramStart"/>
      <w:r w:rsidRPr="002D15B4">
        <w:rPr>
          <w:rFonts w:cs="Times New Roman"/>
        </w:rPr>
        <w:t>Frank</w:t>
      </w:r>
      <w:r w:rsidR="003F23F9">
        <w:rPr>
          <w:rFonts w:cs="Times New Roman"/>
        </w:rPr>
        <w:t>,</w:t>
      </w:r>
      <w:r w:rsidRPr="002D15B4">
        <w:rPr>
          <w:rFonts w:cs="Times New Roman"/>
        </w:rPr>
        <w:t xml:space="preserve"> </w:t>
      </w:r>
      <w:r w:rsidR="003F23F9">
        <w:rPr>
          <w:rFonts w:cs="Times New Roman"/>
        </w:rPr>
        <w:t>J.L.</w:t>
      </w:r>
      <w:r w:rsidRPr="002D15B4">
        <w:rPr>
          <w:rFonts w:cs="Times New Roman"/>
        </w:rPr>
        <w:t>,</w:t>
      </w:r>
      <w:r w:rsidR="003F23F9">
        <w:rPr>
          <w:rFonts w:cs="Times New Roman"/>
        </w:rPr>
        <w:t xml:space="preserve"> Bose,</w:t>
      </w:r>
      <w:r w:rsidRPr="002D15B4">
        <w:rPr>
          <w:rFonts w:cs="Times New Roman"/>
        </w:rPr>
        <w:t xml:space="preserve"> B</w:t>
      </w:r>
      <w:r w:rsidR="003F23F9">
        <w:rPr>
          <w:rFonts w:cs="Times New Roman"/>
        </w:rPr>
        <w:t xml:space="preserve">. </w:t>
      </w:r>
      <w:r w:rsidRPr="002D15B4">
        <w:rPr>
          <w:rFonts w:cs="Times New Roman"/>
        </w:rPr>
        <w:t xml:space="preserve">&amp; </w:t>
      </w:r>
      <w:proofErr w:type="spellStart"/>
      <w:r w:rsidRPr="002D15B4">
        <w:rPr>
          <w:rFonts w:cs="Times New Roman"/>
        </w:rPr>
        <w:t>Schrobenhauser-Clonan</w:t>
      </w:r>
      <w:proofErr w:type="spellEnd"/>
      <w:r w:rsidR="003F23F9">
        <w:rPr>
          <w:rFonts w:cs="Times New Roman"/>
        </w:rPr>
        <w:t>, A.</w:t>
      </w:r>
      <w:r w:rsidRPr="002D15B4">
        <w:rPr>
          <w:rFonts w:cs="Times New Roman"/>
        </w:rPr>
        <w:t xml:space="preserve"> (2014)</w:t>
      </w:r>
      <w:r>
        <w:rPr>
          <w:rFonts w:cs="Times New Roman"/>
        </w:rPr>
        <w:t>.</w:t>
      </w:r>
      <w:proofErr w:type="gramEnd"/>
      <w:r>
        <w:rPr>
          <w:rFonts w:cs="Times New Roman"/>
        </w:rPr>
        <w:t xml:space="preserve"> </w:t>
      </w:r>
      <w:r w:rsidRPr="002D15B4">
        <w:rPr>
          <w:rFonts w:cs="Times New Roman"/>
        </w:rPr>
        <w:t>Effectiveness of a School-Based Yoga Program on Adolescent Mental Health, Stress Coping</w:t>
      </w:r>
      <w:r>
        <w:rPr>
          <w:rFonts w:cs="Times New Roman"/>
        </w:rPr>
        <w:t xml:space="preserve"> </w:t>
      </w:r>
      <w:r w:rsidRPr="002D15B4">
        <w:rPr>
          <w:rFonts w:cs="Times New Roman"/>
        </w:rPr>
        <w:t xml:space="preserve">Strategies, and Attitudes </w:t>
      </w:r>
      <w:proofErr w:type="gramStart"/>
      <w:r w:rsidRPr="002D15B4">
        <w:rPr>
          <w:rFonts w:cs="Times New Roman"/>
        </w:rPr>
        <w:t>Toward</w:t>
      </w:r>
      <w:proofErr w:type="gramEnd"/>
      <w:r w:rsidRPr="002D15B4">
        <w:rPr>
          <w:rFonts w:cs="Times New Roman"/>
        </w:rPr>
        <w:t xml:space="preserve"> Violence: Findings From a High-Risk Sample</w:t>
      </w:r>
      <w:r w:rsidR="003F23F9">
        <w:rPr>
          <w:rFonts w:cs="Times New Roman"/>
        </w:rPr>
        <w:t>.</w:t>
      </w:r>
      <w:r w:rsidRPr="002D15B4">
        <w:rPr>
          <w:rFonts w:cs="Times New Roman"/>
        </w:rPr>
        <w:t xml:space="preserve"> </w:t>
      </w:r>
      <w:r w:rsidRPr="003F23F9">
        <w:rPr>
          <w:rFonts w:cs="Times New Roman"/>
          <w:i/>
        </w:rPr>
        <w:t>Journal of Applied School Psychology</w:t>
      </w:r>
      <w:r w:rsidRPr="002D15B4">
        <w:rPr>
          <w:rFonts w:cs="Times New Roman"/>
        </w:rPr>
        <w:t>, 30:1, 29-49, DOI: 10.1080/15377903.2013.863259</w:t>
      </w:r>
    </w:p>
    <w:p w:rsidR="003419D5" w:rsidRDefault="003419D5" w:rsidP="00191840">
      <w:pPr>
        <w:autoSpaceDE w:val="0"/>
        <w:autoSpaceDN w:val="0"/>
        <w:adjustRightInd w:val="0"/>
        <w:spacing w:after="0" w:line="240" w:lineRule="auto"/>
        <w:rPr>
          <w:rFonts w:cs="StoneSerif"/>
          <w:color w:val="231F20"/>
        </w:rPr>
      </w:pPr>
    </w:p>
    <w:p w:rsidR="00F82706" w:rsidRPr="002216DD" w:rsidRDefault="00F82706" w:rsidP="002216DD">
      <w:pPr>
        <w:autoSpaceDE w:val="0"/>
        <w:autoSpaceDN w:val="0"/>
        <w:adjustRightInd w:val="0"/>
        <w:spacing w:after="0" w:line="240" w:lineRule="auto"/>
        <w:ind w:left="426" w:hanging="426"/>
        <w:rPr>
          <w:rFonts w:cs="StoneSerif"/>
          <w:color w:val="231F20"/>
        </w:rPr>
      </w:pPr>
      <w:proofErr w:type="gramStart"/>
      <w:r>
        <w:rPr>
          <w:rFonts w:cs="StoneSerif"/>
          <w:color w:val="231F20"/>
        </w:rPr>
        <w:t>Gone, P.J. (2012).</w:t>
      </w:r>
      <w:proofErr w:type="gramEnd"/>
      <w:r>
        <w:rPr>
          <w:rFonts w:cs="StoneSerif"/>
          <w:color w:val="231F20"/>
        </w:rPr>
        <w:t xml:space="preserve"> Indigenous Traditional Knowledge and Substance Abuse Treatment Outcomes:</w:t>
      </w:r>
      <w:r w:rsidR="002216DD">
        <w:rPr>
          <w:rFonts w:cs="StoneSerif"/>
          <w:color w:val="231F20"/>
        </w:rPr>
        <w:t xml:space="preserve"> </w:t>
      </w:r>
      <w:r>
        <w:rPr>
          <w:rFonts w:cs="StoneSerif"/>
          <w:color w:val="231F20"/>
        </w:rPr>
        <w:t>The Pro</w:t>
      </w:r>
      <w:r w:rsidR="002216DD">
        <w:rPr>
          <w:rFonts w:cs="StoneSerif"/>
          <w:color w:val="231F20"/>
        </w:rPr>
        <w:t xml:space="preserve">blem of Efficacy Evaluation. </w:t>
      </w:r>
      <w:r w:rsidR="002216DD">
        <w:rPr>
          <w:rFonts w:cs="StoneSerif"/>
          <w:i/>
          <w:color w:val="231F20"/>
        </w:rPr>
        <w:t>The American Journal of Drug and Alcohol Abuse</w:t>
      </w:r>
      <w:r w:rsidR="002216DD">
        <w:rPr>
          <w:rFonts w:cs="StoneSerif"/>
          <w:color w:val="231F20"/>
        </w:rPr>
        <w:t>, 38(5): 493-497.</w:t>
      </w:r>
    </w:p>
    <w:p w:rsidR="00F82706" w:rsidRDefault="00F82706" w:rsidP="00191840">
      <w:pPr>
        <w:autoSpaceDE w:val="0"/>
        <w:autoSpaceDN w:val="0"/>
        <w:adjustRightInd w:val="0"/>
        <w:spacing w:after="0" w:line="240" w:lineRule="auto"/>
        <w:rPr>
          <w:rFonts w:cs="StoneSerif"/>
          <w:color w:val="231F20"/>
        </w:rPr>
      </w:pPr>
    </w:p>
    <w:p w:rsidR="00E5033C" w:rsidRPr="00E5033C" w:rsidRDefault="00E5033C" w:rsidP="00E5033C">
      <w:pPr>
        <w:autoSpaceDE w:val="0"/>
        <w:autoSpaceDN w:val="0"/>
        <w:adjustRightInd w:val="0"/>
        <w:spacing w:after="0" w:line="240" w:lineRule="auto"/>
        <w:ind w:left="426" w:hanging="426"/>
        <w:rPr>
          <w:rFonts w:cs="StoneSerif"/>
          <w:color w:val="231F20"/>
        </w:rPr>
      </w:pPr>
      <w:proofErr w:type="spellStart"/>
      <w:proofErr w:type="gramStart"/>
      <w:r>
        <w:rPr>
          <w:rFonts w:cs="StoneSerif"/>
          <w:color w:val="231F20"/>
        </w:rPr>
        <w:t>Grella</w:t>
      </w:r>
      <w:proofErr w:type="spellEnd"/>
      <w:r>
        <w:rPr>
          <w:rFonts w:cs="StoneSerif"/>
          <w:color w:val="231F20"/>
        </w:rPr>
        <w:t>, C.E. &amp; Joshi, V. (2003).</w:t>
      </w:r>
      <w:proofErr w:type="gramEnd"/>
      <w:r>
        <w:rPr>
          <w:rFonts w:cs="StoneSerif"/>
          <w:color w:val="231F20"/>
        </w:rPr>
        <w:t xml:space="preserve"> Treatment processes and outcomes among adolescents with a history of abuse who are in drug treatment. </w:t>
      </w:r>
      <w:r>
        <w:rPr>
          <w:rFonts w:cs="StoneSerif"/>
          <w:i/>
          <w:color w:val="231F20"/>
        </w:rPr>
        <w:t>Child Maltreatment</w:t>
      </w:r>
      <w:r>
        <w:rPr>
          <w:rFonts w:cs="StoneSerif"/>
          <w:color w:val="231F20"/>
        </w:rPr>
        <w:t>, 8(1): 7-18.</w:t>
      </w:r>
    </w:p>
    <w:p w:rsidR="00E5033C" w:rsidRDefault="00E5033C" w:rsidP="00191840">
      <w:pPr>
        <w:autoSpaceDE w:val="0"/>
        <w:autoSpaceDN w:val="0"/>
        <w:adjustRightInd w:val="0"/>
        <w:spacing w:after="0" w:line="240" w:lineRule="auto"/>
        <w:rPr>
          <w:rFonts w:cs="StoneSerif"/>
          <w:color w:val="231F20"/>
        </w:rPr>
      </w:pPr>
    </w:p>
    <w:p w:rsidR="00642F98" w:rsidRPr="00642F98" w:rsidRDefault="00642F98" w:rsidP="00782DE6">
      <w:pPr>
        <w:autoSpaceDE w:val="0"/>
        <w:autoSpaceDN w:val="0"/>
        <w:adjustRightInd w:val="0"/>
        <w:spacing w:after="0" w:line="240" w:lineRule="auto"/>
        <w:ind w:left="426" w:hanging="426"/>
        <w:rPr>
          <w:rFonts w:cs="StoneSerif"/>
          <w:color w:val="231F20"/>
        </w:rPr>
      </w:pPr>
      <w:proofErr w:type="spellStart"/>
      <w:proofErr w:type="gramStart"/>
      <w:r>
        <w:rPr>
          <w:rFonts w:cs="StoneSerif"/>
          <w:color w:val="231F20"/>
        </w:rPr>
        <w:t>Gretton</w:t>
      </w:r>
      <w:proofErr w:type="spellEnd"/>
      <w:r>
        <w:rPr>
          <w:rFonts w:cs="StoneSerif"/>
          <w:color w:val="231F20"/>
        </w:rPr>
        <w:t>, H.M &amp; Clift, R.J.W. (2011).</w:t>
      </w:r>
      <w:proofErr w:type="gramEnd"/>
      <w:r>
        <w:rPr>
          <w:rFonts w:cs="StoneSerif"/>
          <w:color w:val="231F20"/>
        </w:rPr>
        <w:t xml:space="preserve"> The mental health needs of incarcerated youth in British Columbia, Canada. </w:t>
      </w:r>
      <w:r>
        <w:rPr>
          <w:rFonts w:cs="StoneSerif"/>
          <w:i/>
          <w:color w:val="231F20"/>
        </w:rPr>
        <w:t>International Journal of Law and Psychiatry</w:t>
      </w:r>
      <w:r>
        <w:rPr>
          <w:rFonts w:cs="StoneSerif"/>
          <w:color w:val="231F20"/>
        </w:rPr>
        <w:t>, 34: 109-115.</w:t>
      </w:r>
    </w:p>
    <w:p w:rsidR="00642F98" w:rsidRDefault="00642F98" w:rsidP="00191840">
      <w:pPr>
        <w:autoSpaceDE w:val="0"/>
        <w:autoSpaceDN w:val="0"/>
        <w:adjustRightInd w:val="0"/>
        <w:spacing w:after="0" w:line="240" w:lineRule="auto"/>
        <w:rPr>
          <w:rFonts w:cs="StoneSerif"/>
          <w:color w:val="231F20"/>
        </w:rPr>
      </w:pPr>
    </w:p>
    <w:p w:rsidR="004A0662" w:rsidRDefault="004A0662" w:rsidP="00691D02">
      <w:pPr>
        <w:autoSpaceDE w:val="0"/>
        <w:autoSpaceDN w:val="0"/>
        <w:adjustRightInd w:val="0"/>
        <w:spacing w:after="0" w:line="240" w:lineRule="auto"/>
        <w:ind w:left="426" w:hanging="426"/>
        <w:rPr>
          <w:rFonts w:cs="StoneSerif"/>
          <w:color w:val="231F20"/>
        </w:rPr>
      </w:pPr>
      <w:proofErr w:type="gramStart"/>
      <w:r>
        <w:rPr>
          <w:rFonts w:cs="StoneSerif"/>
          <w:color w:val="231F20"/>
        </w:rPr>
        <w:t>Grove, D. &amp; Brady, K. (2014).</w:t>
      </w:r>
      <w:proofErr w:type="gramEnd"/>
      <w:r>
        <w:rPr>
          <w:rFonts w:cs="StoneSerif"/>
          <w:color w:val="231F20"/>
        </w:rPr>
        <w:t xml:space="preserve"> Yoga as an Adjunct Therapy for Teens and Adolescents: A Pilot Study. </w:t>
      </w:r>
      <w:proofErr w:type="gramStart"/>
      <w:r>
        <w:rPr>
          <w:rFonts w:cs="StoneSerif"/>
          <w:color w:val="231F20"/>
        </w:rPr>
        <w:t>Street Yoga.org.</w:t>
      </w:r>
      <w:proofErr w:type="gramEnd"/>
      <w:r>
        <w:rPr>
          <w:rFonts w:cs="StoneSerif"/>
          <w:color w:val="231F20"/>
        </w:rPr>
        <w:t xml:space="preserve"> </w:t>
      </w:r>
      <w:proofErr w:type="gramStart"/>
      <w:r>
        <w:rPr>
          <w:rFonts w:cs="StoneSerif"/>
          <w:color w:val="231F20"/>
        </w:rPr>
        <w:t xml:space="preserve">Retrieved from </w:t>
      </w:r>
      <w:hyperlink r:id="rId13" w:history="1">
        <w:r w:rsidR="00691D02" w:rsidRPr="00444612">
          <w:rPr>
            <w:rStyle w:val="Hyperlink"/>
            <w:rFonts w:cs="StoneSerif"/>
          </w:rPr>
          <w:t>http://www.streetyoga.org/wp-content/uploads/2014/03/Ryther-Pilot-Study-March-2014.pdf</w:t>
        </w:r>
      </w:hyperlink>
      <w:r w:rsidR="00691D02">
        <w:rPr>
          <w:rFonts w:cs="StoneSerif"/>
          <w:color w:val="231F20"/>
        </w:rPr>
        <w:t>.</w:t>
      </w:r>
      <w:proofErr w:type="gramEnd"/>
      <w:r w:rsidR="00691D02">
        <w:rPr>
          <w:rFonts w:cs="StoneSerif"/>
          <w:color w:val="231F20"/>
        </w:rPr>
        <w:t xml:space="preserve"> </w:t>
      </w:r>
    </w:p>
    <w:p w:rsidR="004A0662" w:rsidRDefault="004A0662" w:rsidP="00191840">
      <w:pPr>
        <w:autoSpaceDE w:val="0"/>
        <w:autoSpaceDN w:val="0"/>
        <w:adjustRightInd w:val="0"/>
        <w:spacing w:after="0" w:line="240" w:lineRule="auto"/>
        <w:rPr>
          <w:rFonts w:cs="StoneSerif"/>
          <w:color w:val="231F20"/>
        </w:rPr>
      </w:pPr>
    </w:p>
    <w:p w:rsidR="003419D5" w:rsidRDefault="003419D5" w:rsidP="003419D5">
      <w:pPr>
        <w:autoSpaceDE w:val="0"/>
        <w:autoSpaceDN w:val="0"/>
        <w:adjustRightInd w:val="0"/>
        <w:spacing w:after="0" w:line="240" w:lineRule="auto"/>
        <w:ind w:left="450" w:hanging="450"/>
        <w:rPr>
          <w:rFonts w:cs="StoneSerif"/>
          <w:color w:val="231F20"/>
        </w:rPr>
      </w:pPr>
      <w:r w:rsidRPr="00F27FA9">
        <w:rPr>
          <w:rFonts w:cs="StoneSerif"/>
          <w:color w:val="231F20"/>
          <w:lang w:val="en-US"/>
        </w:rPr>
        <w:lastRenderedPageBreak/>
        <w:t xml:space="preserve">Hammond, D., Ahmed, R., Yang, W.S., </w:t>
      </w:r>
      <w:proofErr w:type="spellStart"/>
      <w:r w:rsidRPr="00F27FA9">
        <w:rPr>
          <w:rFonts w:cs="StoneSerif"/>
          <w:color w:val="231F20"/>
          <w:lang w:val="en-US"/>
        </w:rPr>
        <w:t>Brukhalter</w:t>
      </w:r>
      <w:proofErr w:type="spellEnd"/>
      <w:r w:rsidRPr="00F27FA9">
        <w:rPr>
          <w:rFonts w:cs="StoneSerif"/>
          <w:color w:val="231F20"/>
          <w:lang w:val="en-US"/>
        </w:rPr>
        <w:t xml:space="preserve">, R. &amp; </w:t>
      </w:r>
      <w:proofErr w:type="spellStart"/>
      <w:r w:rsidRPr="00F27FA9">
        <w:rPr>
          <w:rFonts w:cs="StoneSerif"/>
          <w:color w:val="231F20"/>
          <w:lang w:val="en-US"/>
        </w:rPr>
        <w:t>Leatherdale</w:t>
      </w:r>
      <w:proofErr w:type="spellEnd"/>
      <w:r w:rsidRPr="00F27FA9">
        <w:rPr>
          <w:rFonts w:cs="StoneSerif"/>
          <w:color w:val="231F20"/>
          <w:lang w:val="en-US"/>
        </w:rPr>
        <w:t xml:space="preserve">, S. (2011). Illicit Substance Use </w:t>
      </w:r>
      <w:r w:rsidR="006A7BD4">
        <w:rPr>
          <w:rFonts w:cs="StoneSerif"/>
          <w:color w:val="231F20"/>
          <w:lang w:val="en-US"/>
        </w:rPr>
        <w:t>a</w:t>
      </w:r>
      <w:r w:rsidRPr="00F27FA9">
        <w:rPr>
          <w:rFonts w:cs="StoneSerif"/>
          <w:color w:val="231F20"/>
          <w:lang w:val="en-US"/>
        </w:rPr>
        <w:t xml:space="preserve">mong Canadian Youth: Trends </w:t>
      </w:r>
      <w:proofErr w:type="gramStart"/>
      <w:r w:rsidRPr="00F27FA9">
        <w:rPr>
          <w:rFonts w:cs="StoneSerif"/>
          <w:color w:val="231F20"/>
          <w:lang w:val="en-US"/>
        </w:rPr>
        <w:t>Between</w:t>
      </w:r>
      <w:proofErr w:type="gramEnd"/>
      <w:r w:rsidRPr="00F27FA9">
        <w:rPr>
          <w:rFonts w:cs="StoneSerif"/>
          <w:color w:val="231F20"/>
          <w:lang w:val="en-US"/>
        </w:rPr>
        <w:t xml:space="preserve"> 2002 and 2008. </w:t>
      </w:r>
      <w:r w:rsidRPr="00F27FA9">
        <w:rPr>
          <w:rFonts w:cs="StoneSerif"/>
          <w:i/>
          <w:color w:val="231F20"/>
          <w:lang w:val="en-US"/>
        </w:rPr>
        <w:t>Canadian Journal of Public Health</w:t>
      </w:r>
      <w:r w:rsidRPr="00F27FA9">
        <w:rPr>
          <w:rFonts w:cs="StoneSerif"/>
          <w:color w:val="231F20"/>
          <w:lang w:val="en-US"/>
        </w:rPr>
        <w:t>, 102 (1): 7-12.</w:t>
      </w:r>
    </w:p>
    <w:p w:rsidR="003419D5" w:rsidRDefault="003419D5" w:rsidP="003419D5">
      <w:pPr>
        <w:autoSpaceDE w:val="0"/>
        <w:autoSpaceDN w:val="0"/>
        <w:adjustRightInd w:val="0"/>
        <w:spacing w:after="0" w:line="240" w:lineRule="auto"/>
        <w:rPr>
          <w:rFonts w:cs="StoneSerif"/>
          <w:color w:val="231F20"/>
        </w:rPr>
      </w:pPr>
    </w:p>
    <w:p w:rsidR="004A2EC6" w:rsidRDefault="004A2EC6" w:rsidP="004A2EC6">
      <w:pPr>
        <w:autoSpaceDE w:val="0"/>
        <w:autoSpaceDN w:val="0"/>
        <w:adjustRightInd w:val="0"/>
        <w:spacing w:after="0" w:line="240" w:lineRule="auto"/>
        <w:ind w:left="426" w:hanging="426"/>
        <w:rPr>
          <w:rFonts w:cs="StoneSerif"/>
          <w:color w:val="231F20"/>
        </w:rPr>
      </w:pPr>
      <w:proofErr w:type="gramStart"/>
      <w:r>
        <w:rPr>
          <w:rFonts w:cs="StoneSerif"/>
          <w:color w:val="231F20"/>
        </w:rPr>
        <w:t xml:space="preserve">Harris, D.A. &amp; </w:t>
      </w:r>
      <w:proofErr w:type="spellStart"/>
      <w:r>
        <w:rPr>
          <w:rFonts w:cs="StoneSerif"/>
          <w:color w:val="231F20"/>
        </w:rPr>
        <w:t>Fitton</w:t>
      </w:r>
      <w:proofErr w:type="spellEnd"/>
      <w:r>
        <w:rPr>
          <w:rFonts w:cs="StoneSerif"/>
          <w:color w:val="231F20"/>
        </w:rPr>
        <w:t>, M.L. (2010).</w:t>
      </w:r>
      <w:proofErr w:type="gramEnd"/>
      <w:r>
        <w:rPr>
          <w:rFonts w:cs="StoneSerif"/>
          <w:color w:val="231F20"/>
        </w:rPr>
        <w:t xml:space="preserve"> The Art of Yoga Project: A Gender-Responsive Yoga and Creative Arts Curriculum for Girls in the California Juvenile Justice System.</w:t>
      </w:r>
    </w:p>
    <w:p w:rsidR="004A2EC6" w:rsidRDefault="004A2EC6" w:rsidP="003419D5">
      <w:pPr>
        <w:autoSpaceDE w:val="0"/>
        <w:autoSpaceDN w:val="0"/>
        <w:adjustRightInd w:val="0"/>
        <w:spacing w:after="0" w:line="240" w:lineRule="auto"/>
        <w:rPr>
          <w:rFonts w:cs="StoneSerif"/>
          <w:color w:val="231F20"/>
        </w:rPr>
      </w:pPr>
    </w:p>
    <w:p w:rsidR="00333557" w:rsidRPr="00BC4D22" w:rsidRDefault="00333557" w:rsidP="006500FB">
      <w:pPr>
        <w:autoSpaceDE w:val="0"/>
        <w:autoSpaceDN w:val="0"/>
        <w:adjustRightInd w:val="0"/>
        <w:spacing w:after="0" w:line="240" w:lineRule="auto"/>
        <w:ind w:left="450" w:hanging="450"/>
        <w:rPr>
          <w:rFonts w:cs="StoneSerif"/>
          <w:color w:val="231F20"/>
        </w:rPr>
      </w:pPr>
      <w:proofErr w:type="gramStart"/>
      <w:r>
        <w:rPr>
          <w:rFonts w:cs="StoneSerif"/>
          <w:color w:val="231F20"/>
        </w:rPr>
        <w:t>Health Canada.</w:t>
      </w:r>
      <w:proofErr w:type="gramEnd"/>
      <w:r>
        <w:rPr>
          <w:rFonts w:cs="StoneSerif"/>
          <w:color w:val="231F20"/>
        </w:rPr>
        <w:t xml:space="preserve"> </w:t>
      </w:r>
      <w:proofErr w:type="gramStart"/>
      <w:r>
        <w:rPr>
          <w:rFonts w:cs="StoneSerif"/>
          <w:color w:val="231F20"/>
        </w:rPr>
        <w:t xml:space="preserve">(2014). </w:t>
      </w:r>
      <w:r w:rsidRPr="00333557">
        <w:rPr>
          <w:rFonts w:cs="StoneSerif"/>
          <w:i/>
          <w:color w:val="231F20"/>
        </w:rPr>
        <w:t>Summary of results of the Youth Smoking Survey 2012-2013</w:t>
      </w:r>
      <w:r>
        <w:rPr>
          <w:rFonts w:cs="StoneSerif"/>
          <w:i/>
          <w:color w:val="231F20"/>
        </w:rPr>
        <w:t>.</w:t>
      </w:r>
      <w:proofErr w:type="gramEnd"/>
      <w:r>
        <w:rPr>
          <w:rFonts w:cs="StoneSerif"/>
          <w:i/>
          <w:color w:val="231F20"/>
        </w:rPr>
        <w:t xml:space="preserve"> </w:t>
      </w:r>
      <w:proofErr w:type="gramStart"/>
      <w:r w:rsidR="00BC4D22">
        <w:rPr>
          <w:rFonts w:cs="StoneSerif"/>
          <w:color w:val="231F20"/>
        </w:rPr>
        <w:t>healthycanadians.gc.ca.</w:t>
      </w:r>
      <w:proofErr w:type="gramEnd"/>
      <w:r w:rsidR="00BC4D22">
        <w:rPr>
          <w:rFonts w:cs="StoneSerif"/>
          <w:color w:val="231F20"/>
        </w:rPr>
        <w:t xml:space="preserve"> </w:t>
      </w:r>
    </w:p>
    <w:p w:rsidR="00333557" w:rsidRDefault="00BC4D22" w:rsidP="00BC4D22">
      <w:pPr>
        <w:autoSpaceDE w:val="0"/>
        <w:autoSpaceDN w:val="0"/>
        <w:adjustRightInd w:val="0"/>
        <w:spacing w:after="0" w:line="240" w:lineRule="auto"/>
        <w:ind w:left="450"/>
        <w:rPr>
          <w:rFonts w:cs="StoneSerif"/>
          <w:color w:val="231F20"/>
        </w:rPr>
      </w:pPr>
      <w:r w:rsidRPr="00BC4D22">
        <w:rPr>
          <w:rFonts w:cs="StoneSerif"/>
          <w:color w:val="231F20"/>
        </w:rPr>
        <w:t>http://healthycanadians.gc.ca/publications/healthy-living-vie-saine/youth-smoking-survey-2013-enquete-jeunes-tabagisme/index-eng.php</w:t>
      </w:r>
      <w:r>
        <w:rPr>
          <w:rFonts w:cs="StoneSerif"/>
          <w:color w:val="231F20"/>
        </w:rPr>
        <w:t xml:space="preserve">. </w:t>
      </w:r>
      <w:proofErr w:type="gramStart"/>
      <w:r>
        <w:rPr>
          <w:rFonts w:cs="StoneSerif"/>
          <w:color w:val="231F20"/>
        </w:rPr>
        <w:t>Retrieved August 19, 2016.</w:t>
      </w:r>
      <w:proofErr w:type="gramEnd"/>
    </w:p>
    <w:p w:rsidR="00BC4D22" w:rsidRDefault="00BC4D22" w:rsidP="00BC4D22">
      <w:pPr>
        <w:autoSpaceDE w:val="0"/>
        <w:autoSpaceDN w:val="0"/>
        <w:adjustRightInd w:val="0"/>
        <w:spacing w:after="0" w:line="240" w:lineRule="auto"/>
        <w:ind w:left="720"/>
        <w:rPr>
          <w:rFonts w:cs="StoneSerif"/>
          <w:color w:val="231F20"/>
        </w:rPr>
      </w:pPr>
    </w:p>
    <w:p w:rsidR="00333557" w:rsidRDefault="00BC4D22" w:rsidP="00BC4D22">
      <w:pPr>
        <w:autoSpaceDE w:val="0"/>
        <w:autoSpaceDN w:val="0"/>
        <w:adjustRightInd w:val="0"/>
        <w:spacing w:after="0" w:line="240" w:lineRule="auto"/>
        <w:ind w:left="450" w:hanging="450"/>
        <w:rPr>
          <w:rFonts w:cs="StoneSerif"/>
          <w:color w:val="231F20"/>
        </w:rPr>
      </w:pPr>
      <w:proofErr w:type="gramStart"/>
      <w:r>
        <w:rPr>
          <w:rFonts w:cs="StoneSerif"/>
          <w:color w:val="231F20"/>
          <w:lang w:val="en-US"/>
        </w:rPr>
        <w:t>Health Canada</w:t>
      </w:r>
      <w:r w:rsidRPr="00F27FA9">
        <w:rPr>
          <w:rFonts w:cs="StoneSerif"/>
          <w:color w:val="231F20"/>
          <w:lang w:val="en-US"/>
        </w:rPr>
        <w:t>.</w:t>
      </w:r>
      <w:proofErr w:type="gramEnd"/>
      <w:r w:rsidRPr="00F27FA9">
        <w:rPr>
          <w:rFonts w:cs="StoneSerif"/>
          <w:color w:val="231F20"/>
          <w:lang w:val="en-US"/>
        </w:rPr>
        <w:t xml:space="preserve"> (2015). </w:t>
      </w:r>
      <w:r w:rsidRPr="00F27FA9">
        <w:rPr>
          <w:rFonts w:cs="StoneSerif"/>
          <w:i/>
          <w:color w:val="231F20"/>
          <w:lang w:val="en-US"/>
        </w:rPr>
        <w:t>Canadian Tobacco, Alcohol and Drug Survey (CTADS): Summary of</w:t>
      </w:r>
      <w:r>
        <w:rPr>
          <w:rFonts w:cs="StoneSerif"/>
          <w:i/>
          <w:color w:val="231F20"/>
          <w:lang w:val="en-US"/>
        </w:rPr>
        <w:t xml:space="preserve"> </w:t>
      </w:r>
      <w:r w:rsidRPr="00F27FA9">
        <w:rPr>
          <w:rFonts w:cs="StoneSerif"/>
          <w:i/>
          <w:color w:val="231F20"/>
          <w:lang w:val="en-US"/>
        </w:rPr>
        <w:t>results for 2013</w:t>
      </w:r>
      <w:r w:rsidRPr="00F27FA9">
        <w:rPr>
          <w:rFonts w:cs="StoneSerif"/>
          <w:color w:val="231F20"/>
          <w:lang w:val="en-US"/>
        </w:rPr>
        <w:t xml:space="preserve">. </w:t>
      </w:r>
      <w:proofErr w:type="gramStart"/>
      <w:r>
        <w:rPr>
          <w:rFonts w:cs="StoneSerif"/>
          <w:color w:val="231F20"/>
          <w:lang w:val="en-US"/>
        </w:rPr>
        <w:t xml:space="preserve">Healthycanadians.gc.ca. </w:t>
      </w:r>
      <w:r w:rsidR="003F23F9" w:rsidRPr="003F23F9">
        <w:rPr>
          <w:rFonts w:cs="StoneSerif"/>
          <w:lang w:val="en-US"/>
        </w:rPr>
        <w:t>http://healthycanadians.gc.ca/science-research-sciencesrecherches/</w:t>
      </w:r>
      <w:r w:rsidR="003F23F9" w:rsidRPr="003F23F9">
        <w:rPr>
          <w:rFonts w:cs="StoneSerif"/>
        </w:rPr>
        <w:t>data-</w:t>
      </w:r>
      <w:proofErr w:type="spellStart"/>
      <w:r w:rsidR="003F23F9" w:rsidRPr="003F23F9">
        <w:rPr>
          <w:rFonts w:cs="StoneSerif"/>
        </w:rPr>
        <w:t>donnees</w:t>
      </w:r>
      <w:proofErr w:type="spellEnd"/>
      <w:r w:rsidR="003F23F9" w:rsidRPr="003F23F9">
        <w:rPr>
          <w:rFonts w:cs="StoneSerif"/>
        </w:rPr>
        <w:t>/</w:t>
      </w:r>
      <w:proofErr w:type="spellStart"/>
      <w:r w:rsidR="003F23F9" w:rsidRPr="003F23F9">
        <w:rPr>
          <w:rFonts w:cs="StoneSerif"/>
        </w:rPr>
        <w:t>ctads-ectad</w:t>
      </w:r>
      <w:proofErr w:type="spellEnd"/>
      <w:r w:rsidR="003F23F9" w:rsidRPr="003F23F9">
        <w:rPr>
          <w:rFonts w:cs="StoneSerif"/>
        </w:rPr>
        <w:t>/summary-sommaire-2013-eng.php.</w:t>
      </w:r>
      <w:proofErr w:type="gramEnd"/>
      <w:r w:rsidR="003F23F9" w:rsidRPr="003F23F9">
        <w:rPr>
          <w:rFonts w:cs="StoneSerif"/>
        </w:rPr>
        <w:t xml:space="preserve"> </w:t>
      </w:r>
      <w:proofErr w:type="gramStart"/>
      <w:r w:rsidR="003F23F9" w:rsidRPr="003F23F9">
        <w:rPr>
          <w:rFonts w:cs="StoneSerif"/>
        </w:rPr>
        <w:t>Retrieved July 20</w:t>
      </w:r>
      <w:r w:rsidR="003F23F9">
        <w:rPr>
          <w:rFonts w:cs="StoneSerif"/>
          <w:color w:val="231F20"/>
        </w:rPr>
        <w:t>, 2016.</w:t>
      </w:r>
      <w:proofErr w:type="gramEnd"/>
    </w:p>
    <w:p w:rsidR="00333557" w:rsidRDefault="00333557" w:rsidP="003419D5">
      <w:pPr>
        <w:autoSpaceDE w:val="0"/>
        <w:autoSpaceDN w:val="0"/>
        <w:adjustRightInd w:val="0"/>
        <w:spacing w:after="0" w:line="240" w:lineRule="auto"/>
        <w:rPr>
          <w:rFonts w:cs="StoneSerif"/>
          <w:color w:val="231F20"/>
        </w:rPr>
      </w:pPr>
    </w:p>
    <w:p w:rsidR="007975E0" w:rsidRDefault="007975E0" w:rsidP="001D0EFE">
      <w:pPr>
        <w:autoSpaceDE w:val="0"/>
        <w:autoSpaceDN w:val="0"/>
        <w:adjustRightInd w:val="0"/>
        <w:spacing w:after="0" w:line="240" w:lineRule="auto"/>
        <w:ind w:left="426" w:hanging="426"/>
        <w:rPr>
          <w:rFonts w:cs="StoneSerif"/>
          <w:color w:val="231F20"/>
        </w:rPr>
      </w:pPr>
      <w:proofErr w:type="spellStart"/>
      <w:proofErr w:type="gramStart"/>
      <w:r w:rsidRPr="001379BE">
        <w:rPr>
          <w:rFonts w:cs="Times New Roman"/>
        </w:rPr>
        <w:t>Himelstein</w:t>
      </w:r>
      <w:proofErr w:type="spellEnd"/>
      <w:r w:rsidR="001D0EFE">
        <w:rPr>
          <w:rFonts w:cs="Times New Roman"/>
        </w:rPr>
        <w:t xml:space="preserve">, H., </w:t>
      </w:r>
      <w:r w:rsidRPr="001379BE">
        <w:rPr>
          <w:rFonts w:cs="Times New Roman"/>
        </w:rPr>
        <w:t>Hastings</w:t>
      </w:r>
      <w:r w:rsidR="001D0EFE">
        <w:rPr>
          <w:rFonts w:cs="Times New Roman"/>
        </w:rPr>
        <w:t>, A.,</w:t>
      </w:r>
      <w:r w:rsidRPr="001379BE">
        <w:rPr>
          <w:rFonts w:cs="Times New Roman"/>
        </w:rPr>
        <w:t xml:space="preserve"> Shapiro</w:t>
      </w:r>
      <w:r w:rsidR="001D0EFE">
        <w:rPr>
          <w:rFonts w:cs="Times New Roman"/>
        </w:rPr>
        <w:t>, S.</w:t>
      </w:r>
      <w:r w:rsidRPr="001379BE">
        <w:rPr>
          <w:rFonts w:cs="Times New Roman"/>
        </w:rPr>
        <w:t xml:space="preserve"> &amp; </w:t>
      </w:r>
      <w:proofErr w:type="spellStart"/>
      <w:r w:rsidRPr="001379BE">
        <w:rPr>
          <w:rFonts w:cs="Times New Roman"/>
        </w:rPr>
        <w:t>Heery</w:t>
      </w:r>
      <w:proofErr w:type="spellEnd"/>
      <w:r w:rsidR="001D0EFE">
        <w:rPr>
          <w:rFonts w:cs="Times New Roman"/>
        </w:rPr>
        <w:t>, M.</w:t>
      </w:r>
      <w:r>
        <w:rPr>
          <w:rFonts w:cs="Times New Roman"/>
        </w:rPr>
        <w:t xml:space="preserve"> (2012)</w:t>
      </w:r>
      <w:r w:rsidR="001D0EFE">
        <w:rPr>
          <w:rFonts w:cs="Times New Roman"/>
        </w:rPr>
        <w:t>.</w:t>
      </w:r>
      <w:proofErr w:type="gramEnd"/>
      <w:r>
        <w:rPr>
          <w:rFonts w:cs="Times New Roman"/>
        </w:rPr>
        <w:t xml:space="preserve"> </w:t>
      </w:r>
      <w:proofErr w:type="gramStart"/>
      <w:r w:rsidRPr="001379BE">
        <w:rPr>
          <w:rFonts w:cs="Times New Roman"/>
        </w:rPr>
        <w:t>A qualitative investigation of the experience of a</w:t>
      </w:r>
      <w:r>
        <w:rPr>
          <w:rFonts w:cs="Times New Roman"/>
        </w:rPr>
        <w:t xml:space="preserve"> </w:t>
      </w:r>
      <w:r w:rsidRPr="001379BE">
        <w:rPr>
          <w:rFonts w:cs="Times New Roman"/>
        </w:rPr>
        <w:t>mindfulness-based intervention with incarcerated</w:t>
      </w:r>
      <w:r>
        <w:rPr>
          <w:rFonts w:cs="Times New Roman"/>
        </w:rPr>
        <w:t xml:space="preserve"> </w:t>
      </w:r>
      <w:r w:rsidRPr="001379BE">
        <w:rPr>
          <w:rFonts w:cs="Times New Roman"/>
        </w:rPr>
        <w:t>adolescents</w:t>
      </w:r>
      <w:r>
        <w:rPr>
          <w:rFonts w:cs="Times New Roman"/>
        </w:rPr>
        <w:t>.</w:t>
      </w:r>
      <w:proofErr w:type="gramEnd"/>
      <w:r>
        <w:rPr>
          <w:rFonts w:cs="Times New Roman"/>
        </w:rPr>
        <w:t xml:space="preserve"> </w:t>
      </w:r>
      <w:r w:rsidRPr="001379BE">
        <w:rPr>
          <w:rFonts w:cs="Times New Roman"/>
          <w:i/>
        </w:rPr>
        <w:t>Child and Adolescent Mental Health</w:t>
      </w:r>
      <w:r w:rsidR="00E94E48">
        <w:rPr>
          <w:rFonts w:cs="Times New Roman"/>
          <w:i/>
        </w:rPr>
        <w:t>,</w:t>
      </w:r>
      <w:r w:rsidRPr="001379BE">
        <w:rPr>
          <w:rFonts w:cs="Times New Roman"/>
          <w:i/>
        </w:rPr>
        <w:t xml:space="preserve"> </w:t>
      </w:r>
      <w:r w:rsidR="00E94E48" w:rsidRPr="00E94E48">
        <w:rPr>
          <w:rFonts w:cs="Times New Roman"/>
        </w:rPr>
        <w:t>17: 231-237</w:t>
      </w:r>
      <w:r w:rsidRPr="001379BE">
        <w:rPr>
          <w:rFonts w:cs="Times New Roman"/>
        </w:rPr>
        <w:t xml:space="preserve"> doi:10.1111/j.1475-3588.2011.00647.x</w:t>
      </w:r>
    </w:p>
    <w:p w:rsidR="007975E0" w:rsidRDefault="007975E0" w:rsidP="003419D5">
      <w:pPr>
        <w:autoSpaceDE w:val="0"/>
        <w:autoSpaceDN w:val="0"/>
        <w:adjustRightInd w:val="0"/>
        <w:spacing w:after="0" w:line="240" w:lineRule="auto"/>
        <w:rPr>
          <w:rFonts w:cs="StoneSerif"/>
          <w:color w:val="231F20"/>
        </w:rPr>
      </w:pPr>
    </w:p>
    <w:p w:rsidR="00AB2E6B" w:rsidRPr="00AB2E6B" w:rsidRDefault="00AB2E6B" w:rsidP="00745D99">
      <w:pPr>
        <w:pStyle w:val="Default"/>
        <w:ind w:left="426" w:hanging="426"/>
        <w:rPr>
          <w:rFonts w:asciiTheme="minorHAnsi" w:hAnsiTheme="minorHAnsi"/>
          <w:color w:val="auto"/>
          <w:sz w:val="22"/>
          <w:szCs w:val="22"/>
          <w:lang w:val="en-CA"/>
        </w:rPr>
      </w:pPr>
      <w:proofErr w:type="spellStart"/>
      <w:r>
        <w:rPr>
          <w:rFonts w:asciiTheme="minorHAnsi" w:hAnsiTheme="minorHAnsi"/>
          <w:color w:val="auto"/>
          <w:sz w:val="22"/>
          <w:szCs w:val="22"/>
          <w:lang w:val="en-CA"/>
        </w:rPr>
        <w:t>Himelstein</w:t>
      </w:r>
      <w:proofErr w:type="spellEnd"/>
      <w:r>
        <w:rPr>
          <w:rFonts w:asciiTheme="minorHAnsi" w:hAnsiTheme="minorHAnsi"/>
          <w:color w:val="auto"/>
          <w:sz w:val="22"/>
          <w:szCs w:val="22"/>
          <w:lang w:val="en-CA"/>
        </w:rPr>
        <w:t>, S., Saul, S., Garcia-</w:t>
      </w:r>
      <w:proofErr w:type="spellStart"/>
      <w:r>
        <w:rPr>
          <w:rFonts w:asciiTheme="minorHAnsi" w:hAnsiTheme="minorHAnsi"/>
          <w:color w:val="auto"/>
          <w:sz w:val="22"/>
          <w:szCs w:val="22"/>
          <w:lang w:val="en-CA"/>
        </w:rPr>
        <w:t>Romeu</w:t>
      </w:r>
      <w:proofErr w:type="spellEnd"/>
      <w:r>
        <w:rPr>
          <w:rFonts w:asciiTheme="minorHAnsi" w:hAnsiTheme="minorHAnsi"/>
          <w:color w:val="auto"/>
          <w:sz w:val="22"/>
          <w:szCs w:val="22"/>
          <w:lang w:val="en-CA"/>
        </w:rPr>
        <w:t xml:space="preserve">, A. &amp; </w:t>
      </w:r>
      <w:proofErr w:type="spellStart"/>
      <w:r>
        <w:rPr>
          <w:rFonts w:asciiTheme="minorHAnsi" w:hAnsiTheme="minorHAnsi"/>
          <w:color w:val="auto"/>
          <w:sz w:val="22"/>
          <w:szCs w:val="22"/>
          <w:lang w:val="en-CA"/>
        </w:rPr>
        <w:t>Pinedo</w:t>
      </w:r>
      <w:proofErr w:type="spellEnd"/>
      <w:r>
        <w:rPr>
          <w:rFonts w:asciiTheme="minorHAnsi" w:hAnsiTheme="minorHAnsi"/>
          <w:color w:val="auto"/>
          <w:sz w:val="22"/>
          <w:szCs w:val="22"/>
          <w:lang w:val="en-CA"/>
        </w:rPr>
        <w:t xml:space="preserve">, D. (2014). Mindfulness Training as an Intervention for Substance User Incarcerated Adolescents: A Pilot Grounded Theory Study. </w:t>
      </w:r>
      <w:r>
        <w:rPr>
          <w:rFonts w:asciiTheme="minorHAnsi" w:hAnsiTheme="minorHAnsi"/>
          <w:i/>
          <w:color w:val="auto"/>
          <w:sz w:val="22"/>
          <w:szCs w:val="22"/>
          <w:lang w:val="en-CA"/>
        </w:rPr>
        <w:t>Substance Use &amp; Misuse</w:t>
      </w:r>
      <w:r>
        <w:rPr>
          <w:rFonts w:asciiTheme="minorHAnsi" w:hAnsiTheme="minorHAnsi"/>
          <w:color w:val="auto"/>
          <w:sz w:val="22"/>
          <w:szCs w:val="22"/>
          <w:lang w:val="en-CA"/>
        </w:rPr>
        <w:t>, 49: 560-570.</w:t>
      </w:r>
    </w:p>
    <w:p w:rsidR="00AB2E6B" w:rsidRDefault="00AB2E6B" w:rsidP="00745D99">
      <w:pPr>
        <w:pStyle w:val="Default"/>
        <w:ind w:left="426" w:hanging="426"/>
        <w:rPr>
          <w:rFonts w:asciiTheme="minorHAnsi" w:hAnsiTheme="minorHAnsi"/>
          <w:color w:val="auto"/>
          <w:sz w:val="22"/>
          <w:szCs w:val="22"/>
          <w:lang w:val="en-CA"/>
        </w:rPr>
      </w:pPr>
    </w:p>
    <w:p w:rsidR="00745D99" w:rsidRDefault="00745D99" w:rsidP="00745D99">
      <w:pPr>
        <w:pStyle w:val="Default"/>
        <w:ind w:left="426" w:hanging="426"/>
        <w:rPr>
          <w:rFonts w:cs="StoneSerif"/>
          <w:color w:val="231F20"/>
        </w:rPr>
      </w:pPr>
      <w:proofErr w:type="spellStart"/>
      <w:r w:rsidRPr="000411F5">
        <w:rPr>
          <w:rFonts w:asciiTheme="minorHAnsi" w:hAnsiTheme="minorHAnsi"/>
          <w:color w:val="auto"/>
          <w:sz w:val="22"/>
          <w:szCs w:val="22"/>
          <w:lang w:val="en-CA"/>
        </w:rPr>
        <w:t>Hubberstey</w:t>
      </w:r>
      <w:proofErr w:type="spellEnd"/>
      <w:r>
        <w:rPr>
          <w:rFonts w:asciiTheme="minorHAnsi" w:hAnsiTheme="minorHAnsi"/>
          <w:color w:val="auto"/>
          <w:sz w:val="22"/>
          <w:szCs w:val="22"/>
          <w:lang w:val="en-CA"/>
        </w:rPr>
        <w:t>, C.</w:t>
      </w:r>
      <w:r w:rsidRPr="000411F5">
        <w:rPr>
          <w:rFonts w:asciiTheme="minorHAnsi" w:hAnsiTheme="minorHAnsi"/>
          <w:color w:val="auto"/>
          <w:sz w:val="22"/>
          <w:szCs w:val="22"/>
          <w:lang w:val="en-CA"/>
        </w:rPr>
        <w:t xml:space="preserve">, </w:t>
      </w:r>
      <w:proofErr w:type="spellStart"/>
      <w:r w:rsidRPr="000411F5">
        <w:rPr>
          <w:rFonts w:asciiTheme="minorHAnsi" w:hAnsiTheme="minorHAnsi"/>
          <w:color w:val="auto"/>
          <w:sz w:val="22"/>
          <w:szCs w:val="22"/>
          <w:lang w:val="en-CA"/>
        </w:rPr>
        <w:t>Rutman</w:t>
      </w:r>
      <w:proofErr w:type="spellEnd"/>
      <w:r>
        <w:rPr>
          <w:rFonts w:asciiTheme="minorHAnsi" w:hAnsiTheme="minorHAnsi"/>
          <w:color w:val="auto"/>
          <w:sz w:val="22"/>
          <w:szCs w:val="22"/>
          <w:lang w:val="en-CA"/>
        </w:rPr>
        <w:t>, D. &amp;</w:t>
      </w:r>
      <w:r w:rsidRPr="000411F5">
        <w:rPr>
          <w:rFonts w:asciiTheme="minorHAnsi" w:hAnsiTheme="minorHAnsi"/>
          <w:color w:val="auto"/>
          <w:sz w:val="22"/>
          <w:szCs w:val="22"/>
          <w:lang w:val="en-CA"/>
        </w:rPr>
        <w:t xml:space="preserve"> Hume</w:t>
      </w:r>
      <w:r>
        <w:rPr>
          <w:rFonts w:asciiTheme="minorHAnsi" w:hAnsiTheme="minorHAnsi"/>
          <w:color w:val="auto"/>
          <w:sz w:val="22"/>
          <w:szCs w:val="22"/>
          <w:lang w:val="en-CA"/>
        </w:rPr>
        <w:t>, S.</w:t>
      </w:r>
      <w:r w:rsidRPr="000411F5">
        <w:rPr>
          <w:rFonts w:asciiTheme="minorHAnsi" w:hAnsiTheme="minorHAnsi"/>
          <w:color w:val="auto"/>
          <w:sz w:val="22"/>
          <w:szCs w:val="22"/>
          <w:lang w:val="en-CA"/>
        </w:rPr>
        <w:t xml:space="preserve"> (2014)</w:t>
      </w:r>
      <w:r>
        <w:rPr>
          <w:rFonts w:asciiTheme="minorHAnsi" w:hAnsiTheme="minorHAnsi"/>
          <w:color w:val="auto"/>
          <w:sz w:val="22"/>
          <w:szCs w:val="22"/>
          <w:lang w:val="en-CA"/>
        </w:rPr>
        <w:t>.</w:t>
      </w:r>
      <w:r w:rsidRPr="000411F5">
        <w:rPr>
          <w:rFonts w:asciiTheme="minorHAnsi" w:hAnsiTheme="minorHAnsi"/>
          <w:color w:val="auto"/>
          <w:sz w:val="22"/>
          <w:szCs w:val="22"/>
          <w:lang w:val="en-CA"/>
        </w:rPr>
        <w:t xml:space="preserve"> Evaluation of a three-year Youth Outreach Program for Aboriginal youth with suspected Fetal Alcohol Spectrum Disorder. </w:t>
      </w:r>
      <w:r>
        <w:rPr>
          <w:rFonts w:asciiTheme="minorHAnsi" w:hAnsiTheme="minorHAnsi"/>
          <w:i/>
          <w:color w:val="auto"/>
          <w:sz w:val="22"/>
          <w:szCs w:val="22"/>
          <w:lang w:val="en-CA"/>
        </w:rPr>
        <w:t xml:space="preserve">International Journal of Alcohol and Drug Research, </w:t>
      </w:r>
      <w:proofErr w:type="spellStart"/>
      <w:r>
        <w:rPr>
          <w:rFonts w:asciiTheme="minorHAnsi" w:hAnsiTheme="minorHAnsi"/>
          <w:color w:val="auto"/>
          <w:sz w:val="22"/>
          <w:szCs w:val="22"/>
          <w:lang w:val="en-CA"/>
        </w:rPr>
        <w:t>Vol</w:t>
      </w:r>
      <w:proofErr w:type="spellEnd"/>
      <w:r>
        <w:rPr>
          <w:rFonts w:asciiTheme="minorHAnsi" w:hAnsiTheme="minorHAnsi"/>
          <w:color w:val="auto"/>
          <w:sz w:val="22"/>
          <w:szCs w:val="22"/>
          <w:lang w:val="en-CA"/>
        </w:rPr>
        <w:t xml:space="preserve"> 3(1): 63-70.</w:t>
      </w:r>
      <w:r w:rsidRPr="000411F5">
        <w:t xml:space="preserve"> </w:t>
      </w:r>
      <w:proofErr w:type="spellStart"/>
      <w:proofErr w:type="gramStart"/>
      <w:r w:rsidRPr="008A4C99">
        <w:rPr>
          <w:rFonts w:asciiTheme="minorHAnsi" w:hAnsiTheme="minorHAnsi"/>
          <w:color w:val="auto"/>
          <w:sz w:val="22"/>
          <w:szCs w:val="22"/>
          <w:lang w:val="en-CA"/>
        </w:rPr>
        <w:t>doi</w:t>
      </w:r>
      <w:proofErr w:type="spellEnd"/>
      <w:proofErr w:type="gramEnd"/>
      <w:r w:rsidRPr="008A4C99">
        <w:rPr>
          <w:rFonts w:asciiTheme="minorHAnsi" w:hAnsiTheme="minorHAnsi"/>
          <w:color w:val="auto"/>
          <w:sz w:val="22"/>
          <w:szCs w:val="22"/>
          <w:lang w:val="en-CA"/>
        </w:rPr>
        <w:t>: 10.7895/ijadr.v3i1.124 IJADR, 2014, 3(1), 63 - 70</w:t>
      </w:r>
    </w:p>
    <w:p w:rsidR="00745D99" w:rsidRDefault="00745D99" w:rsidP="003419D5">
      <w:pPr>
        <w:autoSpaceDE w:val="0"/>
        <w:autoSpaceDN w:val="0"/>
        <w:adjustRightInd w:val="0"/>
        <w:spacing w:after="0" w:line="240" w:lineRule="auto"/>
        <w:rPr>
          <w:rFonts w:cs="StoneSerif"/>
          <w:color w:val="231F20"/>
        </w:rPr>
      </w:pPr>
    </w:p>
    <w:p w:rsidR="006A7BD4" w:rsidRPr="006A7BD4" w:rsidRDefault="006A7BD4" w:rsidP="006A7BD4">
      <w:pPr>
        <w:autoSpaceDE w:val="0"/>
        <w:autoSpaceDN w:val="0"/>
        <w:adjustRightInd w:val="0"/>
        <w:spacing w:after="0" w:line="240" w:lineRule="auto"/>
        <w:ind w:left="426" w:hanging="426"/>
        <w:rPr>
          <w:rFonts w:cs="StoneSerif"/>
          <w:color w:val="231F20"/>
        </w:rPr>
      </w:pPr>
      <w:proofErr w:type="spellStart"/>
      <w:proofErr w:type="gramStart"/>
      <w:r>
        <w:rPr>
          <w:rFonts w:cs="StoneSerif"/>
          <w:color w:val="231F20"/>
        </w:rPr>
        <w:t>Jaycox</w:t>
      </w:r>
      <w:proofErr w:type="spellEnd"/>
      <w:r>
        <w:rPr>
          <w:rFonts w:cs="StoneSerif"/>
          <w:color w:val="231F20"/>
        </w:rPr>
        <w:t xml:space="preserve">, L.H., </w:t>
      </w:r>
      <w:proofErr w:type="spellStart"/>
      <w:r>
        <w:rPr>
          <w:rFonts w:cs="StoneSerif"/>
          <w:color w:val="231F20"/>
        </w:rPr>
        <w:t>Ebener</w:t>
      </w:r>
      <w:proofErr w:type="spellEnd"/>
      <w:r>
        <w:rPr>
          <w:rFonts w:cs="StoneSerif"/>
          <w:color w:val="231F20"/>
        </w:rPr>
        <w:t xml:space="preserve">, P., </w:t>
      </w:r>
      <w:proofErr w:type="spellStart"/>
      <w:r>
        <w:rPr>
          <w:rFonts w:cs="StoneSerif"/>
          <w:color w:val="231F20"/>
        </w:rPr>
        <w:t>Damasek</w:t>
      </w:r>
      <w:proofErr w:type="spellEnd"/>
      <w:r>
        <w:rPr>
          <w:rFonts w:cs="StoneSerif"/>
          <w:color w:val="231F20"/>
        </w:rPr>
        <w:t>, L. &amp; Becker, K. (2004).</w:t>
      </w:r>
      <w:proofErr w:type="gramEnd"/>
      <w:r>
        <w:rPr>
          <w:rFonts w:cs="StoneSerif"/>
          <w:color w:val="231F20"/>
        </w:rPr>
        <w:t xml:space="preserve"> Trauma exposure and retention in adolescent substance abuse treatment. </w:t>
      </w:r>
      <w:r>
        <w:rPr>
          <w:rFonts w:cs="StoneSerif"/>
          <w:i/>
          <w:color w:val="231F20"/>
        </w:rPr>
        <w:t>Journal of Traumatic Stress</w:t>
      </w:r>
      <w:r>
        <w:rPr>
          <w:rFonts w:cs="StoneSerif"/>
          <w:color w:val="231F20"/>
        </w:rPr>
        <w:t>, 17(2): 113-21.</w:t>
      </w:r>
    </w:p>
    <w:p w:rsidR="006A7BD4" w:rsidRDefault="006A7BD4" w:rsidP="003419D5">
      <w:pPr>
        <w:autoSpaceDE w:val="0"/>
        <w:autoSpaceDN w:val="0"/>
        <w:adjustRightInd w:val="0"/>
        <w:spacing w:after="0" w:line="240" w:lineRule="auto"/>
        <w:rPr>
          <w:rFonts w:cs="StoneSerif"/>
          <w:color w:val="231F20"/>
        </w:rPr>
      </w:pPr>
    </w:p>
    <w:p w:rsidR="00745D99" w:rsidRPr="00E94E48" w:rsidRDefault="00745D99" w:rsidP="00745D99">
      <w:pPr>
        <w:autoSpaceDE w:val="0"/>
        <w:autoSpaceDN w:val="0"/>
        <w:adjustRightInd w:val="0"/>
        <w:spacing w:after="0" w:line="240" w:lineRule="auto"/>
        <w:ind w:left="426" w:hanging="426"/>
        <w:rPr>
          <w:rFonts w:cs="StoneSerif"/>
          <w:color w:val="231F20"/>
        </w:rPr>
      </w:pPr>
      <w:proofErr w:type="spellStart"/>
      <w:proofErr w:type="gramStart"/>
      <w:r>
        <w:rPr>
          <w:rFonts w:cs="HelveticaNeueLTStd-Th"/>
        </w:rPr>
        <w:t>Kerig</w:t>
      </w:r>
      <w:proofErr w:type="spellEnd"/>
      <w:r>
        <w:rPr>
          <w:rFonts w:cs="HelveticaNeueLTStd-Th"/>
        </w:rPr>
        <w:t>, P.K. &amp; Ford, J.D. (2014).</w:t>
      </w:r>
      <w:proofErr w:type="gramEnd"/>
      <w:r>
        <w:rPr>
          <w:rFonts w:cs="HelveticaNeueLTStd-Th"/>
        </w:rPr>
        <w:t xml:space="preserve"> </w:t>
      </w:r>
      <w:proofErr w:type="gramStart"/>
      <w:r>
        <w:rPr>
          <w:rFonts w:cs="HelveticaNeueLTStd-Th"/>
          <w:i/>
        </w:rPr>
        <w:t>Trauma among Girls in the Juvenile Justice System.</w:t>
      </w:r>
      <w:proofErr w:type="gramEnd"/>
      <w:r>
        <w:rPr>
          <w:rFonts w:cs="HelveticaNeueLTStd-Th"/>
        </w:rPr>
        <w:t xml:space="preserve"> Los Angeles, CA: National Child Traumatic Stress Network. www.NCTSNet.org</w:t>
      </w:r>
    </w:p>
    <w:p w:rsidR="00745D99" w:rsidRDefault="00745D99" w:rsidP="003419D5">
      <w:pPr>
        <w:autoSpaceDE w:val="0"/>
        <w:autoSpaceDN w:val="0"/>
        <w:adjustRightInd w:val="0"/>
        <w:spacing w:after="0" w:line="240" w:lineRule="auto"/>
        <w:rPr>
          <w:rFonts w:cs="StoneSerif"/>
          <w:color w:val="231F20"/>
        </w:rPr>
      </w:pPr>
    </w:p>
    <w:p w:rsidR="00E362A1" w:rsidRDefault="00E362A1" w:rsidP="001D0EFE">
      <w:pPr>
        <w:autoSpaceDE w:val="0"/>
        <w:autoSpaceDN w:val="0"/>
        <w:adjustRightInd w:val="0"/>
        <w:spacing w:after="0" w:line="240" w:lineRule="auto"/>
        <w:ind w:left="426" w:hanging="426"/>
        <w:rPr>
          <w:rFonts w:cs="StoneSerif"/>
          <w:color w:val="231F20"/>
        </w:rPr>
      </w:pPr>
      <w:proofErr w:type="spellStart"/>
      <w:r w:rsidRPr="00570D4C">
        <w:rPr>
          <w:rFonts w:cs="Times New Roman"/>
        </w:rPr>
        <w:t>Khanna</w:t>
      </w:r>
      <w:proofErr w:type="spellEnd"/>
      <w:r w:rsidRPr="00570D4C">
        <w:rPr>
          <w:rFonts w:cs="Times New Roman"/>
        </w:rPr>
        <w:t xml:space="preserve">, </w:t>
      </w:r>
      <w:r w:rsidR="001D0EFE">
        <w:rPr>
          <w:rFonts w:cs="Times New Roman"/>
        </w:rPr>
        <w:t xml:space="preserve">S. &amp; </w:t>
      </w:r>
      <w:r w:rsidRPr="00570D4C">
        <w:rPr>
          <w:rFonts w:cs="Times New Roman"/>
        </w:rPr>
        <w:t xml:space="preserve">and </w:t>
      </w:r>
      <w:proofErr w:type="spellStart"/>
      <w:r w:rsidRPr="00570D4C">
        <w:rPr>
          <w:rFonts w:cs="Times New Roman"/>
        </w:rPr>
        <w:t>Greeson</w:t>
      </w:r>
      <w:proofErr w:type="spellEnd"/>
      <w:r w:rsidRPr="00570D4C">
        <w:rPr>
          <w:rFonts w:cs="Times New Roman"/>
        </w:rPr>
        <w:t xml:space="preserve">, </w:t>
      </w:r>
      <w:r w:rsidR="001D0EFE">
        <w:rPr>
          <w:rFonts w:cs="Times New Roman"/>
        </w:rPr>
        <w:t>J.M.</w:t>
      </w:r>
      <w:r>
        <w:rPr>
          <w:rFonts w:cs="Times New Roman"/>
        </w:rPr>
        <w:t xml:space="preserve"> (2013)</w:t>
      </w:r>
      <w:r w:rsidR="001D0EFE">
        <w:rPr>
          <w:rFonts w:cs="Times New Roman"/>
        </w:rPr>
        <w:t>.</w:t>
      </w:r>
      <w:r>
        <w:rPr>
          <w:rFonts w:cs="Times New Roman"/>
        </w:rPr>
        <w:t xml:space="preserve"> </w:t>
      </w:r>
      <w:proofErr w:type="gramStart"/>
      <w:r w:rsidRPr="009602B5">
        <w:rPr>
          <w:rFonts w:cs="Times New Roman"/>
        </w:rPr>
        <w:t>A Narrative Review of Yoga and Mindfulness as Complementary</w:t>
      </w:r>
      <w:r>
        <w:rPr>
          <w:rFonts w:cs="Times New Roman"/>
        </w:rPr>
        <w:t xml:space="preserve"> </w:t>
      </w:r>
      <w:r w:rsidRPr="009602B5">
        <w:rPr>
          <w:rFonts w:cs="Times New Roman"/>
        </w:rPr>
        <w:t>Therapies for Addiction</w:t>
      </w:r>
      <w:r w:rsidRPr="009602B5">
        <w:rPr>
          <w:rFonts w:cs="Times New Roman"/>
          <w:i/>
        </w:rPr>
        <w:t>.</w:t>
      </w:r>
      <w:proofErr w:type="gramEnd"/>
      <w:r w:rsidRPr="009602B5">
        <w:rPr>
          <w:rFonts w:cs="Times New Roman"/>
          <w:i/>
        </w:rPr>
        <w:t xml:space="preserve"> </w:t>
      </w:r>
      <w:proofErr w:type="gramStart"/>
      <w:r w:rsidRPr="009602B5">
        <w:rPr>
          <w:rFonts w:cs="Times New Roman"/>
          <w:i/>
        </w:rPr>
        <w:t>Complement</w:t>
      </w:r>
      <w:r w:rsidR="001D0EFE">
        <w:rPr>
          <w:rFonts w:cs="Times New Roman"/>
          <w:i/>
        </w:rPr>
        <w:t>ary</w:t>
      </w:r>
      <w:r w:rsidRPr="009602B5">
        <w:rPr>
          <w:rFonts w:cs="Times New Roman"/>
          <w:i/>
        </w:rPr>
        <w:t xml:space="preserve"> Ther</w:t>
      </w:r>
      <w:r w:rsidR="001D0EFE">
        <w:rPr>
          <w:rFonts w:cs="Times New Roman"/>
          <w:i/>
        </w:rPr>
        <w:t>apies in</w:t>
      </w:r>
      <w:r w:rsidRPr="009602B5">
        <w:rPr>
          <w:rFonts w:cs="Times New Roman"/>
          <w:i/>
        </w:rPr>
        <w:t xml:space="preserve"> Med</w:t>
      </w:r>
      <w:r w:rsidR="001D0EFE">
        <w:rPr>
          <w:rFonts w:cs="Times New Roman"/>
          <w:i/>
        </w:rPr>
        <w:t>icine</w:t>
      </w:r>
      <w:r w:rsidRPr="009602B5">
        <w:rPr>
          <w:rFonts w:cs="Times New Roman"/>
        </w:rPr>
        <w:t>.</w:t>
      </w:r>
      <w:proofErr w:type="gramEnd"/>
      <w:r w:rsidRPr="009602B5">
        <w:rPr>
          <w:rFonts w:cs="Times New Roman"/>
        </w:rPr>
        <w:t xml:space="preserve"> 21(3): 244–252. doi:10.1016/j.ctim.2013.01.008</w:t>
      </w:r>
    </w:p>
    <w:p w:rsidR="00CC0CCA" w:rsidRDefault="00CC0CCA" w:rsidP="003419D5">
      <w:pPr>
        <w:autoSpaceDE w:val="0"/>
        <w:autoSpaceDN w:val="0"/>
        <w:adjustRightInd w:val="0"/>
        <w:spacing w:after="0" w:line="240" w:lineRule="auto"/>
        <w:rPr>
          <w:rFonts w:cs="StoneSerif"/>
          <w:color w:val="231F20"/>
        </w:rPr>
      </w:pPr>
    </w:p>
    <w:p w:rsidR="00CC0CCA" w:rsidRPr="00C863F1" w:rsidRDefault="00CC0CCA" w:rsidP="00C863F1">
      <w:pPr>
        <w:autoSpaceDE w:val="0"/>
        <w:autoSpaceDN w:val="0"/>
        <w:adjustRightInd w:val="0"/>
        <w:spacing w:after="0" w:line="240" w:lineRule="auto"/>
        <w:ind w:left="426" w:hanging="426"/>
        <w:rPr>
          <w:rFonts w:cs="HelveticaNeueLTStd-Th"/>
        </w:rPr>
      </w:pPr>
      <w:proofErr w:type="gramStart"/>
      <w:r>
        <w:rPr>
          <w:rFonts w:cs="HelveticaNeueLTStd-Th"/>
        </w:rPr>
        <w:t xml:space="preserve">Layne, </w:t>
      </w:r>
      <w:r w:rsidR="00730DE4">
        <w:rPr>
          <w:rFonts w:cs="HelveticaNeueLTStd-Th"/>
        </w:rPr>
        <w:t xml:space="preserve">C.M., </w:t>
      </w:r>
      <w:proofErr w:type="spellStart"/>
      <w:r>
        <w:rPr>
          <w:rFonts w:cs="HelveticaNeueLTStd-Th"/>
        </w:rPr>
        <w:t>Greeson</w:t>
      </w:r>
      <w:proofErr w:type="spellEnd"/>
      <w:r>
        <w:rPr>
          <w:rFonts w:cs="HelveticaNeueLTStd-Th"/>
        </w:rPr>
        <w:t xml:space="preserve">, </w:t>
      </w:r>
      <w:r w:rsidR="00730DE4">
        <w:rPr>
          <w:rFonts w:cs="HelveticaNeueLTStd-Th"/>
        </w:rPr>
        <w:t xml:space="preserve">J.K.P., </w:t>
      </w:r>
      <w:proofErr w:type="spellStart"/>
      <w:r>
        <w:rPr>
          <w:rFonts w:cs="HelveticaNeueLTStd-Th"/>
        </w:rPr>
        <w:t>Ostrowski</w:t>
      </w:r>
      <w:proofErr w:type="spellEnd"/>
      <w:r w:rsidR="00730DE4">
        <w:rPr>
          <w:rFonts w:cs="HelveticaNeueLTStd-Th"/>
        </w:rPr>
        <w:t xml:space="preserve">, S.A., Kim, S., Reading, S., </w:t>
      </w:r>
      <w:proofErr w:type="spellStart"/>
      <w:r w:rsidR="00730DE4">
        <w:rPr>
          <w:rFonts w:cs="HelveticaNeueLTStd-Th"/>
        </w:rPr>
        <w:t>Vivrette</w:t>
      </w:r>
      <w:proofErr w:type="spellEnd"/>
      <w:r w:rsidR="00730DE4">
        <w:rPr>
          <w:rFonts w:cs="HelveticaNeueLTStd-Th"/>
        </w:rPr>
        <w:t xml:space="preserve">, R.L., Briggs, E.C., Fairbank, J.A. &amp; </w:t>
      </w:r>
      <w:proofErr w:type="spellStart"/>
      <w:r w:rsidR="00730DE4">
        <w:rPr>
          <w:rFonts w:cs="HelveticaNeueLTStd-Th"/>
        </w:rPr>
        <w:t>Pynoos</w:t>
      </w:r>
      <w:proofErr w:type="spellEnd"/>
      <w:r w:rsidR="00730DE4">
        <w:rPr>
          <w:rFonts w:cs="HelveticaNeueLTStd-Th"/>
        </w:rPr>
        <w:t>, R.S. (2014).</w:t>
      </w:r>
      <w:proofErr w:type="gramEnd"/>
      <w:r w:rsidR="00730DE4">
        <w:rPr>
          <w:rFonts w:cs="HelveticaNeueLTStd-Th"/>
        </w:rPr>
        <w:t xml:space="preserve"> </w:t>
      </w:r>
      <w:r w:rsidR="00C863F1">
        <w:rPr>
          <w:rFonts w:cs="HelveticaNeueLTStd-Th"/>
        </w:rPr>
        <w:t xml:space="preserve">Cumulative Trauma Exposure and High Risk Behaviour in Adolescence: Findings From the National Child Traumatic Stress Network Core Data Set. </w:t>
      </w:r>
      <w:r w:rsidR="00C863F1">
        <w:rPr>
          <w:rFonts w:cs="HelveticaNeueLTStd-Th"/>
          <w:i/>
        </w:rPr>
        <w:t xml:space="preserve">Psychological Trauma: Theory, Research, Practice, and Policy, </w:t>
      </w:r>
      <w:proofErr w:type="spellStart"/>
      <w:r w:rsidR="00C863F1">
        <w:rPr>
          <w:rFonts w:cs="HelveticaNeueLTStd-Th"/>
        </w:rPr>
        <w:t>Vol</w:t>
      </w:r>
      <w:proofErr w:type="spellEnd"/>
      <w:r w:rsidR="00C863F1">
        <w:rPr>
          <w:rFonts w:cs="HelveticaNeueLTStd-Th"/>
        </w:rPr>
        <w:t xml:space="preserve"> 6(S1) S40-S49.</w:t>
      </w:r>
      <w:r w:rsidR="00C863F1">
        <w:rPr>
          <w:rFonts w:cs="HelveticaNeueLTStd-Th"/>
          <w:i/>
        </w:rPr>
        <w:t xml:space="preserve"> </w:t>
      </w:r>
    </w:p>
    <w:p w:rsidR="00730DE4" w:rsidRDefault="00730DE4" w:rsidP="003419D5">
      <w:pPr>
        <w:autoSpaceDE w:val="0"/>
        <w:autoSpaceDN w:val="0"/>
        <w:adjustRightInd w:val="0"/>
        <w:spacing w:after="0" w:line="240" w:lineRule="auto"/>
        <w:rPr>
          <w:rFonts w:cs="StoneSerif"/>
          <w:color w:val="231F20"/>
        </w:rPr>
      </w:pPr>
    </w:p>
    <w:p w:rsidR="002216DD" w:rsidRPr="004A2EC6" w:rsidRDefault="002216DD" w:rsidP="003419D5">
      <w:pPr>
        <w:autoSpaceDE w:val="0"/>
        <w:autoSpaceDN w:val="0"/>
        <w:adjustRightInd w:val="0"/>
        <w:spacing w:after="0" w:line="240" w:lineRule="auto"/>
        <w:rPr>
          <w:rFonts w:cs="StoneSerif"/>
          <w:color w:val="231F20"/>
        </w:rPr>
      </w:pPr>
      <w:proofErr w:type="gramStart"/>
      <w:r>
        <w:rPr>
          <w:rFonts w:cs="StoneSerif"/>
          <w:color w:val="231F20"/>
        </w:rPr>
        <w:t>Le, L. (</w:t>
      </w:r>
      <w:r w:rsidR="004A2EC6">
        <w:rPr>
          <w:rFonts w:cs="StoneSerif"/>
          <w:color w:val="231F20"/>
        </w:rPr>
        <w:t>2012).</w:t>
      </w:r>
      <w:proofErr w:type="gramEnd"/>
      <w:r w:rsidR="004A2EC6">
        <w:rPr>
          <w:rFonts w:cs="StoneSerif"/>
          <w:color w:val="231F20"/>
        </w:rPr>
        <w:t xml:space="preserve"> </w:t>
      </w:r>
      <w:proofErr w:type="gramStart"/>
      <w:r w:rsidR="004A2EC6">
        <w:rPr>
          <w:rFonts w:cs="StoneSerif"/>
          <w:color w:val="231F20"/>
        </w:rPr>
        <w:t>Gender-Specific Treatment for Female Young Offenders.</w:t>
      </w:r>
      <w:proofErr w:type="gramEnd"/>
      <w:r w:rsidR="004A2EC6">
        <w:rPr>
          <w:rFonts w:cs="StoneSerif"/>
          <w:color w:val="231F20"/>
        </w:rPr>
        <w:t xml:space="preserve"> </w:t>
      </w:r>
      <w:r w:rsidR="004A2EC6">
        <w:rPr>
          <w:rFonts w:cs="StoneSerif"/>
          <w:i/>
          <w:color w:val="231F20"/>
        </w:rPr>
        <w:t>Eureka</w:t>
      </w:r>
      <w:r w:rsidR="004A2EC6">
        <w:rPr>
          <w:rFonts w:cs="StoneSerif"/>
          <w:color w:val="231F20"/>
        </w:rPr>
        <w:t>, Vol. 3(1): 26-32.</w:t>
      </w:r>
    </w:p>
    <w:p w:rsidR="002216DD" w:rsidRDefault="002216DD" w:rsidP="003419D5">
      <w:pPr>
        <w:autoSpaceDE w:val="0"/>
        <w:autoSpaceDN w:val="0"/>
        <w:adjustRightInd w:val="0"/>
        <w:spacing w:after="0" w:line="240" w:lineRule="auto"/>
        <w:rPr>
          <w:rFonts w:cs="StoneSerif"/>
          <w:color w:val="231F20"/>
        </w:rPr>
      </w:pPr>
    </w:p>
    <w:p w:rsidR="008A4C99" w:rsidRPr="00AB2E6B" w:rsidRDefault="008A4C99" w:rsidP="00AB2E6B">
      <w:pPr>
        <w:autoSpaceDE w:val="0"/>
        <w:autoSpaceDN w:val="0"/>
        <w:adjustRightInd w:val="0"/>
        <w:spacing w:after="0" w:line="240" w:lineRule="auto"/>
        <w:ind w:left="426" w:hanging="426"/>
        <w:rPr>
          <w:rFonts w:cs="StoneSerif"/>
          <w:color w:val="231F20"/>
        </w:rPr>
      </w:pPr>
      <w:proofErr w:type="spellStart"/>
      <w:proofErr w:type="gramStart"/>
      <w:r>
        <w:rPr>
          <w:rFonts w:cs="StoneSerif"/>
          <w:color w:val="231F20"/>
        </w:rPr>
        <w:t>McCaslin</w:t>
      </w:r>
      <w:proofErr w:type="spellEnd"/>
      <w:r>
        <w:rPr>
          <w:rFonts w:cs="StoneSerif"/>
          <w:color w:val="231F20"/>
        </w:rPr>
        <w:t xml:space="preserve">, </w:t>
      </w:r>
      <w:r w:rsidR="00AB2E6B">
        <w:rPr>
          <w:rFonts w:cs="StoneSerif"/>
          <w:color w:val="231F20"/>
        </w:rPr>
        <w:t>W.D. &amp; Boyer, Y. (2009).</w:t>
      </w:r>
      <w:proofErr w:type="gramEnd"/>
      <w:r w:rsidR="00AB2E6B">
        <w:rPr>
          <w:rFonts w:cs="StoneSerif"/>
          <w:color w:val="231F20"/>
        </w:rPr>
        <w:t xml:space="preserve"> First Nations Communities at Risk and in Crisis: Justice and Security. </w:t>
      </w:r>
      <w:r w:rsidR="00AB2E6B">
        <w:rPr>
          <w:rFonts w:cs="StoneSerif"/>
          <w:i/>
          <w:color w:val="231F20"/>
        </w:rPr>
        <w:t>Journal of Aboriginal Health</w:t>
      </w:r>
      <w:r w:rsidR="00AB2E6B">
        <w:rPr>
          <w:rFonts w:cs="StoneSerif"/>
          <w:color w:val="231F20"/>
        </w:rPr>
        <w:t xml:space="preserve">, November (2009): 61- </w:t>
      </w:r>
    </w:p>
    <w:p w:rsidR="008A4C99" w:rsidRDefault="008A4C99" w:rsidP="003419D5">
      <w:pPr>
        <w:autoSpaceDE w:val="0"/>
        <w:autoSpaceDN w:val="0"/>
        <w:adjustRightInd w:val="0"/>
        <w:spacing w:after="0" w:line="240" w:lineRule="auto"/>
        <w:rPr>
          <w:rFonts w:cs="StoneSerif"/>
          <w:color w:val="231F20"/>
        </w:rPr>
      </w:pPr>
    </w:p>
    <w:p w:rsidR="00CC0CCA" w:rsidRDefault="00CC0CCA" w:rsidP="006500FB">
      <w:pPr>
        <w:autoSpaceDE w:val="0"/>
        <w:autoSpaceDN w:val="0"/>
        <w:adjustRightInd w:val="0"/>
        <w:spacing w:after="0" w:line="240" w:lineRule="auto"/>
        <w:ind w:left="450" w:hanging="450"/>
        <w:rPr>
          <w:rFonts w:cs="HelveticaNeueLTStd-Th"/>
        </w:rPr>
      </w:pPr>
      <w:proofErr w:type="spellStart"/>
      <w:r>
        <w:rPr>
          <w:rFonts w:cs="HelveticaNeueLTStd-Th"/>
        </w:rPr>
        <w:t>Mc</w:t>
      </w:r>
      <w:r w:rsidR="00BB5E22">
        <w:rPr>
          <w:rFonts w:cs="HelveticaNeueLTStd-Th"/>
        </w:rPr>
        <w:t>C</w:t>
      </w:r>
      <w:r>
        <w:rPr>
          <w:rFonts w:cs="HelveticaNeueLTStd-Th"/>
        </w:rPr>
        <w:t>ay</w:t>
      </w:r>
      <w:proofErr w:type="spellEnd"/>
      <w:r>
        <w:rPr>
          <w:rFonts w:cs="HelveticaNeueLTStd-Th"/>
        </w:rPr>
        <w:t xml:space="preserve">, </w:t>
      </w:r>
      <w:r w:rsidR="00CE7C39">
        <w:rPr>
          <w:rFonts w:cs="HelveticaNeueLTStd-Th"/>
        </w:rPr>
        <w:t>E. (</w:t>
      </w:r>
      <w:r>
        <w:rPr>
          <w:rFonts w:cs="HelveticaNeueLTStd-Th"/>
        </w:rPr>
        <w:t>2011</w:t>
      </w:r>
      <w:r w:rsidR="00CE7C39">
        <w:rPr>
          <w:rFonts w:cs="HelveticaNeueLTStd-Th"/>
        </w:rPr>
        <w:t xml:space="preserve">). Experience of Emotional Stress and Resilience in Street-Involved Youth: The Need for Early Mental Health Intervention. </w:t>
      </w:r>
      <w:r w:rsidR="00CE7C39">
        <w:rPr>
          <w:rFonts w:cs="HelveticaNeueLTStd-Th"/>
          <w:i/>
        </w:rPr>
        <w:t xml:space="preserve">Healthcare Quarterly, </w:t>
      </w:r>
      <w:r w:rsidR="00CE7C39">
        <w:rPr>
          <w:rFonts w:cs="HelveticaNeueLTStd-Th"/>
        </w:rPr>
        <w:t>14(Special Issue</w:t>
      </w:r>
      <w:r w:rsidR="00C25B25">
        <w:rPr>
          <w:rFonts w:cs="HelveticaNeueLTStd-Th"/>
        </w:rPr>
        <w:t xml:space="preserve"> 2): 64-71. </w:t>
      </w:r>
      <w:proofErr w:type="spellStart"/>
      <w:r w:rsidR="00C25B25">
        <w:rPr>
          <w:rFonts w:cs="HelveticaNeueLTStd-Th"/>
        </w:rPr>
        <w:t>Doi</w:t>
      </w:r>
      <w:proofErr w:type="spellEnd"/>
      <w:r w:rsidR="00C25B25">
        <w:rPr>
          <w:rFonts w:cs="HelveticaNeueLTStd-Th"/>
        </w:rPr>
        <w:t>: 10.12927/hcq.2011.22365</w:t>
      </w:r>
    </w:p>
    <w:p w:rsidR="00F75B93" w:rsidRDefault="00F75B93" w:rsidP="003419D5">
      <w:pPr>
        <w:autoSpaceDE w:val="0"/>
        <w:autoSpaceDN w:val="0"/>
        <w:adjustRightInd w:val="0"/>
        <w:spacing w:after="0" w:line="240" w:lineRule="auto"/>
        <w:rPr>
          <w:rFonts w:cs="StoneSerif"/>
          <w:color w:val="231F20"/>
        </w:rPr>
      </w:pPr>
    </w:p>
    <w:p w:rsidR="00F82706" w:rsidRPr="00F82706" w:rsidRDefault="00F82706" w:rsidP="00F82706">
      <w:pPr>
        <w:autoSpaceDE w:val="0"/>
        <w:autoSpaceDN w:val="0"/>
        <w:adjustRightInd w:val="0"/>
        <w:spacing w:after="0" w:line="240" w:lineRule="auto"/>
        <w:ind w:left="426" w:hanging="426"/>
        <w:rPr>
          <w:rFonts w:cs="StoneSerif"/>
          <w:color w:val="231F20"/>
        </w:rPr>
      </w:pPr>
      <w:r>
        <w:rPr>
          <w:rFonts w:cs="StoneSerif"/>
          <w:color w:val="231F20"/>
        </w:rPr>
        <w:t xml:space="preserve">McCormick, R.M. (2000). </w:t>
      </w:r>
      <w:proofErr w:type="gramStart"/>
      <w:r>
        <w:rPr>
          <w:rFonts w:cs="StoneSerif"/>
          <w:color w:val="231F20"/>
        </w:rPr>
        <w:t>Aboriginal Traditions in the Treatment of Substance Abuse.</w:t>
      </w:r>
      <w:proofErr w:type="gramEnd"/>
      <w:r>
        <w:rPr>
          <w:rFonts w:cs="StoneSerif"/>
          <w:color w:val="231F20"/>
        </w:rPr>
        <w:t xml:space="preserve"> </w:t>
      </w:r>
      <w:r>
        <w:rPr>
          <w:rFonts w:cs="StoneSerif"/>
          <w:i/>
          <w:color w:val="231F20"/>
        </w:rPr>
        <w:t>Canadian Journal of Counselling</w:t>
      </w:r>
      <w:r>
        <w:rPr>
          <w:rFonts w:cs="StoneSerif"/>
          <w:color w:val="231F20"/>
        </w:rPr>
        <w:t>, Vol. 34 (1): 25-32.</w:t>
      </w:r>
    </w:p>
    <w:p w:rsidR="00F82706" w:rsidRDefault="00F82706" w:rsidP="003419D5">
      <w:pPr>
        <w:autoSpaceDE w:val="0"/>
        <w:autoSpaceDN w:val="0"/>
        <w:adjustRightInd w:val="0"/>
        <w:spacing w:after="0" w:line="240" w:lineRule="auto"/>
        <w:rPr>
          <w:rFonts w:cs="StoneSerif"/>
          <w:color w:val="231F20"/>
        </w:rPr>
      </w:pPr>
    </w:p>
    <w:p w:rsidR="00691D02" w:rsidRDefault="00691D02" w:rsidP="00691D02">
      <w:pPr>
        <w:autoSpaceDE w:val="0"/>
        <w:autoSpaceDN w:val="0"/>
        <w:adjustRightInd w:val="0"/>
        <w:spacing w:after="0" w:line="240" w:lineRule="auto"/>
        <w:ind w:left="426" w:hanging="426"/>
        <w:rPr>
          <w:rFonts w:cs="StoneSerif"/>
          <w:color w:val="231F20"/>
        </w:rPr>
      </w:pPr>
      <w:proofErr w:type="gramStart"/>
      <w:r>
        <w:rPr>
          <w:rFonts w:cs="StoneSerif"/>
          <w:color w:val="231F20"/>
        </w:rPr>
        <w:t xml:space="preserve">McLachlan, K., </w:t>
      </w:r>
      <w:proofErr w:type="spellStart"/>
      <w:r>
        <w:rPr>
          <w:rFonts w:cs="StoneSerif"/>
          <w:color w:val="231F20"/>
        </w:rPr>
        <w:t>Wyper</w:t>
      </w:r>
      <w:proofErr w:type="spellEnd"/>
      <w:r>
        <w:rPr>
          <w:rFonts w:cs="StoneSerif"/>
          <w:color w:val="231F20"/>
        </w:rPr>
        <w:t xml:space="preserve">, K. &amp; </w:t>
      </w:r>
      <w:proofErr w:type="spellStart"/>
      <w:r>
        <w:rPr>
          <w:rFonts w:cs="StoneSerif"/>
          <w:color w:val="231F20"/>
        </w:rPr>
        <w:t>Pooley</w:t>
      </w:r>
      <w:proofErr w:type="spellEnd"/>
      <w:r>
        <w:rPr>
          <w:rFonts w:cs="StoneSerif"/>
          <w:color w:val="231F20"/>
        </w:rPr>
        <w:t>, A. (</w:t>
      </w:r>
      <w:proofErr w:type="spellStart"/>
      <w:r>
        <w:rPr>
          <w:rFonts w:cs="StoneSerif"/>
          <w:color w:val="231F20"/>
        </w:rPr>
        <w:t>n.d</w:t>
      </w:r>
      <w:proofErr w:type="spellEnd"/>
      <w:r>
        <w:rPr>
          <w:rFonts w:cs="StoneSerif"/>
          <w:color w:val="231F20"/>
        </w:rPr>
        <w:t>.).</w:t>
      </w:r>
      <w:proofErr w:type="gramEnd"/>
      <w:r>
        <w:rPr>
          <w:rFonts w:cs="StoneSerif"/>
          <w:color w:val="231F20"/>
        </w:rPr>
        <w:t xml:space="preserve"> </w:t>
      </w:r>
      <w:proofErr w:type="gramStart"/>
      <w:r>
        <w:rPr>
          <w:rFonts w:cs="StoneSerif"/>
          <w:color w:val="231F20"/>
        </w:rPr>
        <w:t>Promising Practices in Substance Abuse Treatment for Justice-Involved Youth with FASD.</w:t>
      </w:r>
      <w:proofErr w:type="gramEnd"/>
      <w:r>
        <w:rPr>
          <w:rFonts w:cs="StoneSerif"/>
          <w:color w:val="231F20"/>
        </w:rPr>
        <w:t xml:space="preserve"> </w:t>
      </w:r>
      <w:proofErr w:type="gramStart"/>
      <w:r>
        <w:rPr>
          <w:rFonts w:cs="StoneSerif"/>
          <w:color w:val="231F20"/>
        </w:rPr>
        <w:t>The Asante Centre.</w:t>
      </w:r>
      <w:proofErr w:type="gramEnd"/>
      <w:r>
        <w:rPr>
          <w:rFonts w:cs="StoneSerif"/>
          <w:color w:val="231F20"/>
        </w:rPr>
        <w:t xml:space="preserve"> Edmonton, AB: University of Alberta.</w:t>
      </w:r>
    </w:p>
    <w:p w:rsidR="00691D02" w:rsidRDefault="00691D02" w:rsidP="003419D5">
      <w:pPr>
        <w:autoSpaceDE w:val="0"/>
        <w:autoSpaceDN w:val="0"/>
        <w:adjustRightInd w:val="0"/>
        <w:spacing w:after="0" w:line="240" w:lineRule="auto"/>
        <w:rPr>
          <w:rFonts w:cs="StoneSerif"/>
          <w:color w:val="231F20"/>
        </w:rPr>
      </w:pPr>
    </w:p>
    <w:p w:rsidR="00E72A67" w:rsidRPr="00290674" w:rsidRDefault="00E72A67" w:rsidP="006500FB">
      <w:pPr>
        <w:autoSpaceDE w:val="0"/>
        <w:autoSpaceDN w:val="0"/>
        <w:adjustRightInd w:val="0"/>
        <w:spacing w:after="0" w:line="240" w:lineRule="auto"/>
        <w:ind w:left="450" w:hanging="450"/>
        <w:rPr>
          <w:rFonts w:cs="StoneSerif"/>
          <w:color w:val="231F20"/>
        </w:rPr>
      </w:pPr>
      <w:proofErr w:type="gramStart"/>
      <w:r>
        <w:rPr>
          <w:rFonts w:cs="HelveticaNeueLTStd-Th"/>
        </w:rPr>
        <w:t>National Crime Prevention Centre</w:t>
      </w:r>
      <w:r w:rsidR="000551B4">
        <w:rPr>
          <w:rFonts w:cs="HelveticaNeueLTStd-Th"/>
        </w:rPr>
        <w:t>.</w:t>
      </w:r>
      <w:proofErr w:type="gramEnd"/>
      <w:r>
        <w:rPr>
          <w:rFonts w:cs="HelveticaNeueLTStd-Th"/>
        </w:rPr>
        <w:t xml:space="preserve"> (2012)</w:t>
      </w:r>
      <w:r w:rsidR="000551B4">
        <w:rPr>
          <w:rFonts w:cs="HelveticaNeueLTStd-Th"/>
        </w:rPr>
        <w:t>.</w:t>
      </w:r>
      <w:r w:rsidR="00290674">
        <w:rPr>
          <w:rFonts w:cs="HelveticaNeueLTStd-Th"/>
          <w:i/>
        </w:rPr>
        <w:t>A Statistical Snapshot of Youth at Risk and Youth Offending in Canada.</w:t>
      </w:r>
      <w:r w:rsidR="00290674">
        <w:rPr>
          <w:rFonts w:cs="HelveticaNeueLTStd-Th"/>
        </w:rPr>
        <w:t xml:space="preserve"> Ottawa, ON: Public Safety Canada. Catalogue number PS4-126/2012E-PDF</w:t>
      </w:r>
    </w:p>
    <w:p w:rsidR="00E72A67" w:rsidRDefault="00E72A67" w:rsidP="003419D5">
      <w:pPr>
        <w:autoSpaceDE w:val="0"/>
        <w:autoSpaceDN w:val="0"/>
        <w:adjustRightInd w:val="0"/>
        <w:spacing w:after="0" w:line="240" w:lineRule="auto"/>
        <w:rPr>
          <w:rFonts w:cs="StoneSerif"/>
          <w:color w:val="231F20"/>
        </w:rPr>
      </w:pPr>
    </w:p>
    <w:p w:rsidR="003419D5" w:rsidRPr="00F27FA9" w:rsidRDefault="00032606" w:rsidP="003419D5">
      <w:pPr>
        <w:autoSpaceDE w:val="0"/>
        <w:autoSpaceDN w:val="0"/>
        <w:adjustRightInd w:val="0"/>
        <w:spacing w:after="0" w:line="240" w:lineRule="auto"/>
        <w:ind w:left="450" w:hanging="450"/>
        <w:rPr>
          <w:rFonts w:cs="Times New Roman"/>
        </w:rPr>
      </w:pPr>
      <w:proofErr w:type="spellStart"/>
      <w:r>
        <w:rPr>
          <w:rFonts w:cs="Times New Roman"/>
        </w:rPr>
        <w:t>Pihl</w:t>
      </w:r>
      <w:proofErr w:type="spellEnd"/>
      <w:r>
        <w:rPr>
          <w:rFonts w:cs="Times New Roman"/>
        </w:rPr>
        <w:t>,</w:t>
      </w:r>
      <w:r w:rsidR="008A4C99">
        <w:rPr>
          <w:rFonts w:cs="Times New Roman"/>
        </w:rPr>
        <w:t xml:space="preserve"> R.,</w:t>
      </w:r>
      <w:r>
        <w:rPr>
          <w:rFonts w:cs="Times New Roman"/>
        </w:rPr>
        <w:t xml:space="preserve"> Abu-</w:t>
      </w:r>
      <w:proofErr w:type="spellStart"/>
      <w:r>
        <w:rPr>
          <w:rFonts w:cs="Times New Roman"/>
        </w:rPr>
        <w:t>Shakra</w:t>
      </w:r>
      <w:proofErr w:type="spellEnd"/>
      <w:r>
        <w:rPr>
          <w:rFonts w:cs="Times New Roman"/>
        </w:rPr>
        <w:t xml:space="preserve">, M., Cox, S., O’Leary-Barrett, M., </w:t>
      </w:r>
      <w:proofErr w:type="spellStart"/>
      <w:r>
        <w:rPr>
          <w:rFonts w:cs="Times New Roman"/>
        </w:rPr>
        <w:t>Brotnow</w:t>
      </w:r>
      <w:proofErr w:type="spellEnd"/>
      <w:r>
        <w:rPr>
          <w:rFonts w:cs="Times New Roman"/>
        </w:rPr>
        <w:t xml:space="preserve">, L., </w:t>
      </w:r>
      <w:proofErr w:type="spellStart"/>
      <w:r>
        <w:rPr>
          <w:rFonts w:cs="Times New Roman"/>
        </w:rPr>
        <w:t>Sinha</w:t>
      </w:r>
      <w:proofErr w:type="spellEnd"/>
      <w:r>
        <w:rPr>
          <w:rFonts w:cs="Times New Roman"/>
        </w:rPr>
        <w:t xml:space="preserve">, R., Stewart, S. &amp; </w:t>
      </w:r>
      <w:proofErr w:type="spellStart"/>
      <w:r>
        <w:rPr>
          <w:rFonts w:cs="Times New Roman"/>
        </w:rPr>
        <w:t>Leyton</w:t>
      </w:r>
      <w:proofErr w:type="spellEnd"/>
      <w:r>
        <w:rPr>
          <w:rFonts w:cs="Times New Roman"/>
        </w:rPr>
        <w:t>, R. (2014).</w:t>
      </w:r>
      <w:r w:rsidR="003419D5">
        <w:rPr>
          <w:rFonts w:cs="Times New Roman"/>
        </w:rPr>
        <w:t xml:space="preserve"> </w:t>
      </w:r>
      <w:proofErr w:type="gramStart"/>
      <w:r>
        <w:rPr>
          <w:rFonts w:cs="Times New Roman"/>
        </w:rPr>
        <w:t>Introduction.</w:t>
      </w:r>
      <w:proofErr w:type="gramEnd"/>
      <w:r>
        <w:rPr>
          <w:rFonts w:cs="Times New Roman"/>
        </w:rPr>
        <w:t xml:space="preserve"> I</w:t>
      </w:r>
      <w:r w:rsidR="003419D5">
        <w:rPr>
          <w:rFonts w:cs="Times New Roman"/>
        </w:rPr>
        <w:t xml:space="preserve">n </w:t>
      </w:r>
      <w:proofErr w:type="spellStart"/>
      <w:r w:rsidR="003419D5" w:rsidRPr="00F27FA9">
        <w:rPr>
          <w:rFonts w:cs="Times New Roman"/>
        </w:rPr>
        <w:t>Leyton</w:t>
      </w:r>
      <w:proofErr w:type="spellEnd"/>
      <w:r w:rsidR="003419D5" w:rsidRPr="00F27FA9">
        <w:rPr>
          <w:rFonts w:cs="Times New Roman"/>
        </w:rPr>
        <w:t>, M., &amp; Stewart, S. (</w:t>
      </w:r>
      <w:proofErr w:type="spellStart"/>
      <w:r w:rsidR="003419D5" w:rsidRPr="00F27FA9">
        <w:rPr>
          <w:rFonts w:cs="Times New Roman"/>
        </w:rPr>
        <w:t>Eds</w:t>
      </w:r>
      <w:proofErr w:type="spellEnd"/>
      <w:r w:rsidR="003419D5" w:rsidRPr="00F27FA9">
        <w:rPr>
          <w:rFonts w:cs="Times New Roman"/>
        </w:rPr>
        <w:t>)</w:t>
      </w:r>
      <w:r>
        <w:rPr>
          <w:rFonts w:cs="Times New Roman"/>
        </w:rPr>
        <w:t>,</w:t>
      </w:r>
      <w:r w:rsidR="003419D5" w:rsidRPr="00F27FA9">
        <w:rPr>
          <w:rFonts w:cs="Times New Roman"/>
        </w:rPr>
        <w:t xml:space="preserve"> </w:t>
      </w:r>
      <w:r w:rsidR="003419D5" w:rsidRPr="00F27FA9">
        <w:rPr>
          <w:rFonts w:cs="Times New Roman"/>
          <w:i/>
        </w:rPr>
        <w:t>Substance abuse in Canada: Childhood and adolescent pathways to substance use disorders</w:t>
      </w:r>
      <w:r w:rsidR="003419D5" w:rsidRPr="00F27FA9">
        <w:rPr>
          <w:rFonts w:cs="Times New Roman"/>
        </w:rPr>
        <w:t>. Ottawa, ON: Canadian Centre on Substance Abuse.</w:t>
      </w:r>
    </w:p>
    <w:p w:rsidR="003419D5" w:rsidRDefault="003419D5" w:rsidP="003419D5">
      <w:pPr>
        <w:autoSpaceDE w:val="0"/>
        <w:autoSpaceDN w:val="0"/>
        <w:adjustRightInd w:val="0"/>
        <w:spacing w:after="0" w:line="240" w:lineRule="auto"/>
        <w:rPr>
          <w:rFonts w:cs="HelveticaNeueLTStd-Lt"/>
        </w:rPr>
      </w:pPr>
    </w:p>
    <w:p w:rsidR="002C014D" w:rsidRPr="002C014D" w:rsidRDefault="002C014D" w:rsidP="002C014D">
      <w:pPr>
        <w:autoSpaceDE w:val="0"/>
        <w:autoSpaceDN w:val="0"/>
        <w:adjustRightInd w:val="0"/>
        <w:spacing w:after="0" w:line="240" w:lineRule="auto"/>
        <w:ind w:left="426" w:hanging="426"/>
        <w:rPr>
          <w:rFonts w:cs="HelveticaNeueLTStd-Lt"/>
        </w:rPr>
      </w:pPr>
      <w:proofErr w:type="spellStart"/>
      <w:proofErr w:type="gramStart"/>
      <w:r>
        <w:rPr>
          <w:rFonts w:cs="HelveticaNeueLTStd-Lt"/>
        </w:rPr>
        <w:t>Ramadoss</w:t>
      </w:r>
      <w:proofErr w:type="spellEnd"/>
      <w:r>
        <w:rPr>
          <w:rFonts w:cs="HelveticaNeueLTStd-Lt"/>
        </w:rPr>
        <w:t>, R. &amp; Bose, B.K. (2010).</w:t>
      </w:r>
      <w:proofErr w:type="gramEnd"/>
      <w:r>
        <w:rPr>
          <w:rFonts w:cs="HelveticaNeueLTStd-Lt"/>
        </w:rPr>
        <w:t xml:space="preserve"> Transformative Life Skills: Pilot Studies of a Yoga Model for Reducing Perceived Stress and Improving Self-Control in Vulnerable Youth. </w:t>
      </w:r>
      <w:r>
        <w:rPr>
          <w:rFonts w:cs="HelveticaNeueLTStd-Lt"/>
          <w:i/>
        </w:rPr>
        <w:t>International Journal of Yoga Therapy</w:t>
      </w:r>
      <w:r>
        <w:rPr>
          <w:rFonts w:cs="HelveticaNeueLTStd-Lt"/>
        </w:rPr>
        <w:t>, No. 20 (2010): 75-80.</w:t>
      </w:r>
    </w:p>
    <w:p w:rsidR="002C014D" w:rsidRDefault="002C014D" w:rsidP="003419D5">
      <w:pPr>
        <w:autoSpaceDE w:val="0"/>
        <w:autoSpaceDN w:val="0"/>
        <w:adjustRightInd w:val="0"/>
        <w:spacing w:after="0" w:line="240" w:lineRule="auto"/>
        <w:rPr>
          <w:rFonts w:cs="HelveticaNeueLTStd-Lt"/>
        </w:rPr>
      </w:pPr>
    </w:p>
    <w:p w:rsidR="004A2EC6" w:rsidRPr="004A2EC6" w:rsidRDefault="004A2EC6" w:rsidP="004A2EC6">
      <w:pPr>
        <w:autoSpaceDE w:val="0"/>
        <w:autoSpaceDN w:val="0"/>
        <w:adjustRightInd w:val="0"/>
        <w:spacing w:after="0" w:line="240" w:lineRule="auto"/>
        <w:ind w:left="426" w:hanging="426"/>
        <w:rPr>
          <w:rFonts w:cs="HelveticaNeueLTStd-Lt"/>
        </w:rPr>
      </w:pPr>
      <w:r>
        <w:rPr>
          <w:rFonts w:cs="HelveticaNeueLTStd-Lt"/>
        </w:rPr>
        <w:t xml:space="preserve">Roberts-Lewis, A.C., Welch-Brewer, C.L., Jackson, M.S., Kirk, R. &amp; Pharr, O.M. (2010). Assessing Change in Psychosocial Functioning of Incarcerated Girls with a Substance Use Disorder: Gender Sensitive Substance Abuse Intervention. </w:t>
      </w:r>
      <w:r>
        <w:rPr>
          <w:rFonts w:cs="HelveticaNeueLTStd-Lt"/>
          <w:i/>
        </w:rPr>
        <w:t>Journal of Offender Rehabilitation</w:t>
      </w:r>
      <w:r>
        <w:rPr>
          <w:rFonts w:cs="HelveticaNeueLTStd-Lt"/>
        </w:rPr>
        <w:t>, 49: 479-494.</w:t>
      </w:r>
    </w:p>
    <w:p w:rsidR="004A2EC6" w:rsidRDefault="004A2EC6" w:rsidP="003419D5">
      <w:pPr>
        <w:autoSpaceDE w:val="0"/>
        <w:autoSpaceDN w:val="0"/>
        <w:adjustRightInd w:val="0"/>
        <w:spacing w:after="0" w:line="240" w:lineRule="auto"/>
        <w:rPr>
          <w:rFonts w:cs="HelveticaNeueLTStd-Lt"/>
        </w:rPr>
      </w:pPr>
    </w:p>
    <w:p w:rsidR="00322542" w:rsidRPr="00F82706" w:rsidRDefault="00322542" w:rsidP="00F82706">
      <w:pPr>
        <w:autoSpaceDE w:val="0"/>
        <w:autoSpaceDN w:val="0"/>
        <w:adjustRightInd w:val="0"/>
        <w:spacing w:after="0" w:line="240" w:lineRule="auto"/>
        <w:ind w:left="426" w:hanging="426"/>
        <w:rPr>
          <w:rFonts w:cs="HelveticaNeueLTStd-Lt"/>
        </w:rPr>
      </w:pPr>
      <w:proofErr w:type="gramStart"/>
      <w:r>
        <w:rPr>
          <w:rFonts w:cs="HelveticaNeueLTStd-Lt"/>
        </w:rPr>
        <w:t>Rowan</w:t>
      </w:r>
      <w:r w:rsidR="00F82706">
        <w:rPr>
          <w:rFonts w:cs="HelveticaNeueLTStd-Lt"/>
        </w:rPr>
        <w:t xml:space="preserve">, M. et al. </w:t>
      </w:r>
      <w:r>
        <w:rPr>
          <w:rFonts w:cs="HelveticaNeueLTStd-Lt"/>
        </w:rPr>
        <w:t>(2014).</w:t>
      </w:r>
      <w:proofErr w:type="gramEnd"/>
      <w:r>
        <w:rPr>
          <w:rFonts w:cs="HelveticaNeueLTStd-Lt"/>
        </w:rPr>
        <w:t xml:space="preserve"> </w:t>
      </w:r>
      <w:r w:rsidR="00F82706">
        <w:rPr>
          <w:rFonts w:cs="HelveticaNeueLTStd-Lt"/>
        </w:rPr>
        <w:t xml:space="preserve">Cultural Interventions to treat addictions in Indigenous populations: findings from a scoping study. </w:t>
      </w:r>
      <w:r w:rsidR="00F82706">
        <w:rPr>
          <w:rFonts w:cs="HelveticaNeueLTStd-Lt"/>
          <w:i/>
        </w:rPr>
        <w:t>Substance Abuse Treatment, Prevention, and Policy</w:t>
      </w:r>
      <w:r w:rsidR="00F82706">
        <w:rPr>
          <w:rFonts w:cs="HelveticaNeueLTStd-Lt"/>
        </w:rPr>
        <w:t xml:space="preserve">, 9 (34): 1-26. </w:t>
      </w:r>
      <w:proofErr w:type="spellStart"/>
      <w:proofErr w:type="gramStart"/>
      <w:r w:rsidR="00F82706">
        <w:rPr>
          <w:rFonts w:cs="HelveticaNeueLTStd-Lt"/>
        </w:rPr>
        <w:t>doi</w:t>
      </w:r>
      <w:proofErr w:type="spellEnd"/>
      <w:proofErr w:type="gramEnd"/>
      <w:r w:rsidR="00F82706">
        <w:rPr>
          <w:rFonts w:cs="HelveticaNeueLTStd-Lt"/>
        </w:rPr>
        <w:t>: 10.1186/1747-597X-9-34</w:t>
      </w:r>
    </w:p>
    <w:p w:rsidR="00322542" w:rsidRDefault="00322542" w:rsidP="003419D5">
      <w:pPr>
        <w:autoSpaceDE w:val="0"/>
        <w:autoSpaceDN w:val="0"/>
        <w:adjustRightInd w:val="0"/>
        <w:spacing w:after="0" w:line="240" w:lineRule="auto"/>
        <w:rPr>
          <w:rFonts w:cs="HelveticaNeueLTStd-Lt"/>
        </w:rPr>
      </w:pPr>
    </w:p>
    <w:p w:rsidR="00870E35" w:rsidRPr="00386FB5" w:rsidRDefault="00870E35" w:rsidP="00870E35">
      <w:pPr>
        <w:autoSpaceDE w:val="0"/>
        <w:autoSpaceDN w:val="0"/>
        <w:adjustRightInd w:val="0"/>
        <w:spacing w:after="0" w:line="240" w:lineRule="auto"/>
        <w:ind w:left="426" w:hanging="426"/>
        <w:rPr>
          <w:rFonts w:cs="HelveticaNeueLTStd-Lt"/>
        </w:rPr>
      </w:pPr>
      <w:proofErr w:type="gramStart"/>
      <w:r>
        <w:rPr>
          <w:rFonts w:cs="HelveticaNeueLTStd-Lt"/>
        </w:rPr>
        <w:t>Scully, B. &amp; Finlay, J. (2015).</w:t>
      </w:r>
      <w:proofErr w:type="gramEnd"/>
      <w:r>
        <w:rPr>
          <w:rFonts w:cs="HelveticaNeueLTStd-Lt"/>
        </w:rPr>
        <w:t xml:space="preserve"> </w:t>
      </w:r>
      <w:r>
        <w:rPr>
          <w:rFonts w:cs="HelveticaNeueLTStd-Lt"/>
          <w:i/>
        </w:rPr>
        <w:t>Cross-over Youth: Care to Custody.</w:t>
      </w:r>
      <w:r>
        <w:rPr>
          <w:rFonts w:cs="HelveticaNeueLTStd-Lt"/>
        </w:rPr>
        <w:t xml:space="preserve"> </w:t>
      </w:r>
      <w:r>
        <w:rPr>
          <w:rFonts w:cs="HelveticaNeueLTStd-Lt"/>
          <w:i/>
        </w:rPr>
        <w:t>Report completed on behalf of the Cross-over Youth Committee.</w:t>
      </w:r>
      <w:r w:rsidR="00386FB5">
        <w:rPr>
          <w:rFonts w:cs="HelveticaNeueLTStd-Lt"/>
          <w:i/>
        </w:rPr>
        <w:t xml:space="preserve"> </w:t>
      </w:r>
      <w:r w:rsidR="00386FB5">
        <w:rPr>
          <w:rFonts w:cs="HelveticaNeueLTStd-Lt"/>
        </w:rPr>
        <w:t>Toronto, ON: Ryerson University.</w:t>
      </w:r>
    </w:p>
    <w:p w:rsidR="00870E35" w:rsidRDefault="00870E35" w:rsidP="003419D5">
      <w:pPr>
        <w:autoSpaceDE w:val="0"/>
        <w:autoSpaceDN w:val="0"/>
        <w:adjustRightInd w:val="0"/>
        <w:spacing w:after="0" w:line="240" w:lineRule="auto"/>
        <w:rPr>
          <w:rFonts w:cs="HelveticaNeueLTStd-Lt"/>
        </w:rPr>
      </w:pPr>
    </w:p>
    <w:p w:rsidR="00AB1500" w:rsidRPr="00AB1500" w:rsidRDefault="00AB1500" w:rsidP="00AB1500">
      <w:pPr>
        <w:autoSpaceDE w:val="0"/>
        <w:autoSpaceDN w:val="0"/>
        <w:adjustRightInd w:val="0"/>
        <w:spacing w:after="0" w:line="240" w:lineRule="auto"/>
        <w:ind w:left="426" w:hanging="426"/>
        <w:rPr>
          <w:rFonts w:cs="HelveticaNeueLTStd-Lt"/>
        </w:rPr>
      </w:pPr>
      <w:proofErr w:type="gramStart"/>
      <w:r>
        <w:rPr>
          <w:rFonts w:cs="HelveticaNeueLTStd-Lt"/>
        </w:rPr>
        <w:t xml:space="preserve">Shane, P., Diamond, G.S., </w:t>
      </w:r>
      <w:proofErr w:type="spellStart"/>
      <w:r>
        <w:rPr>
          <w:rFonts w:cs="HelveticaNeueLTStd-Lt"/>
        </w:rPr>
        <w:t>Mensinger</w:t>
      </w:r>
      <w:proofErr w:type="spellEnd"/>
      <w:r>
        <w:rPr>
          <w:rFonts w:cs="HelveticaNeueLTStd-Lt"/>
        </w:rPr>
        <w:t xml:space="preserve">, J.L., </w:t>
      </w:r>
      <w:proofErr w:type="spellStart"/>
      <w:r>
        <w:rPr>
          <w:rFonts w:cs="HelveticaNeueLTStd-Lt"/>
        </w:rPr>
        <w:t>Shera</w:t>
      </w:r>
      <w:proofErr w:type="spellEnd"/>
      <w:r>
        <w:rPr>
          <w:rFonts w:cs="HelveticaNeueLTStd-Lt"/>
        </w:rPr>
        <w:t>, D. &amp; Wintergreen, M.B. (2006).</w:t>
      </w:r>
      <w:proofErr w:type="gramEnd"/>
      <w:r>
        <w:rPr>
          <w:rFonts w:cs="HelveticaNeueLTStd-Lt"/>
        </w:rPr>
        <w:t xml:space="preserve"> </w:t>
      </w:r>
      <w:proofErr w:type="gramStart"/>
      <w:r>
        <w:rPr>
          <w:rFonts w:cs="HelveticaNeueLTStd-Lt"/>
        </w:rPr>
        <w:t>Impact of Victimization on Substance Abuse Treatment Outcomes for Adolescents in Outpatient and Residential Substance Use Treatment.</w:t>
      </w:r>
      <w:proofErr w:type="gramEnd"/>
      <w:r>
        <w:rPr>
          <w:rFonts w:cs="HelveticaNeueLTStd-Lt"/>
        </w:rPr>
        <w:t xml:space="preserve"> </w:t>
      </w:r>
      <w:r>
        <w:rPr>
          <w:rFonts w:cs="HelveticaNeueLTStd-Lt"/>
          <w:i/>
        </w:rPr>
        <w:t>The American Journal on Addictions</w:t>
      </w:r>
      <w:r>
        <w:rPr>
          <w:rFonts w:cs="HelveticaNeueLTStd-Lt"/>
        </w:rPr>
        <w:t>, 15: 34-42.</w:t>
      </w:r>
      <w:r w:rsidR="00870E35">
        <w:rPr>
          <w:rFonts w:cs="HelveticaNeueLTStd-Lt"/>
        </w:rPr>
        <w:t xml:space="preserve"> DOI: 10.1080/ 1550490601003714</w:t>
      </w:r>
    </w:p>
    <w:p w:rsidR="00AB1500" w:rsidRDefault="00AB1500" w:rsidP="003419D5">
      <w:pPr>
        <w:autoSpaceDE w:val="0"/>
        <w:autoSpaceDN w:val="0"/>
        <w:adjustRightInd w:val="0"/>
        <w:spacing w:after="0" w:line="240" w:lineRule="auto"/>
        <w:rPr>
          <w:rFonts w:cs="HelveticaNeueLTStd-Lt"/>
        </w:rPr>
      </w:pPr>
    </w:p>
    <w:p w:rsidR="00BB5E22" w:rsidRDefault="00BB5E22" w:rsidP="003419D5">
      <w:pPr>
        <w:autoSpaceDE w:val="0"/>
        <w:autoSpaceDN w:val="0"/>
        <w:adjustRightInd w:val="0"/>
        <w:spacing w:after="0" w:line="240" w:lineRule="auto"/>
        <w:rPr>
          <w:rFonts w:cs="HelveticaNeueLTStd-Lt"/>
        </w:rPr>
      </w:pPr>
      <w:proofErr w:type="spellStart"/>
      <w:r>
        <w:rPr>
          <w:rFonts w:cs="HelveticaNeueLTStd-Lt"/>
        </w:rPr>
        <w:t>Sittner</w:t>
      </w:r>
      <w:proofErr w:type="spellEnd"/>
      <w:r>
        <w:rPr>
          <w:rFonts w:cs="HelveticaNeueLTStd-Lt"/>
        </w:rPr>
        <w:t>, K.J. (2016). Substance use and conduct disorders are common among arrested North American Indigenous youth and increase their likelihood of arrest. blogs.lse.ac.uk</w:t>
      </w:r>
    </w:p>
    <w:p w:rsidR="00BB5E22" w:rsidRDefault="00BB5E22" w:rsidP="003419D5">
      <w:pPr>
        <w:autoSpaceDE w:val="0"/>
        <w:autoSpaceDN w:val="0"/>
        <w:adjustRightInd w:val="0"/>
        <w:spacing w:after="0" w:line="240" w:lineRule="auto"/>
        <w:rPr>
          <w:rFonts w:cs="HelveticaNeueLTStd-Lt"/>
        </w:rPr>
      </w:pPr>
    </w:p>
    <w:p w:rsidR="003419D5" w:rsidRDefault="003419D5" w:rsidP="003419D5">
      <w:pPr>
        <w:autoSpaceDE w:val="0"/>
        <w:autoSpaceDN w:val="0"/>
        <w:adjustRightInd w:val="0"/>
        <w:spacing w:after="0" w:line="240" w:lineRule="auto"/>
        <w:ind w:left="450" w:hanging="450"/>
        <w:rPr>
          <w:rFonts w:cs="HelveticaNeueLTStd-Lt"/>
        </w:rPr>
      </w:pPr>
      <w:proofErr w:type="gramStart"/>
      <w:r w:rsidRPr="00F27FA9">
        <w:rPr>
          <w:rFonts w:cs="Calibri"/>
        </w:rPr>
        <w:t xml:space="preserve">Smith, A., Cox, K., </w:t>
      </w:r>
      <w:proofErr w:type="spellStart"/>
      <w:r w:rsidRPr="00F27FA9">
        <w:rPr>
          <w:rFonts w:cs="Calibri"/>
        </w:rPr>
        <w:t>Poon</w:t>
      </w:r>
      <w:proofErr w:type="spellEnd"/>
      <w:r w:rsidRPr="00F27FA9">
        <w:rPr>
          <w:rFonts w:cs="Calibri"/>
        </w:rPr>
        <w:t>, C., Stewart, D., and McCreary Centre Society (2013).</w:t>
      </w:r>
      <w:proofErr w:type="gramEnd"/>
      <w:r w:rsidRPr="00F27FA9">
        <w:rPr>
          <w:rFonts w:cs="Calibri"/>
        </w:rPr>
        <w:t xml:space="preserve"> </w:t>
      </w:r>
      <w:r w:rsidRPr="00F27FA9">
        <w:rPr>
          <w:rFonts w:cs="Calibri"/>
          <w:i/>
        </w:rPr>
        <w:t>Time Out III: A profile of BC youth in custody</w:t>
      </w:r>
      <w:r w:rsidRPr="00F27FA9">
        <w:rPr>
          <w:rFonts w:cs="Calibri"/>
        </w:rPr>
        <w:t>. Vancouver, BC: McCreary Centre Society.</w:t>
      </w:r>
    </w:p>
    <w:p w:rsidR="003419D5" w:rsidRDefault="003419D5" w:rsidP="003419D5">
      <w:pPr>
        <w:autoSpaceDE w:val="0"/>
        <w:autoSpaceDN w:val="0"/>
        <w:adjustRightInd w:val="0"/>
        <w:spacing w:after="0" w:line="240" w:lineRule="auto"/>
        <w:rPr>
          <w:rFonts w:cs="HelveticaNeueLTStd-Lt"/>
        </w:rPr>
      </w:pPr>
    </w:p>
    <w:p w:rsidR="003419D5" w:rsidRDefault="003419D5" w:rsidP="003419D5">
      <w:pPr>
        <w:autoSpaceDE w:val="0"/>
        <w:autoSpaceDN w:val="0"/>
        <w:adjustRightInd w:val="0"/>
        <w:spacing w:after="0" w:line="240" w:lineRule="auto"/>
        <w:ind w:left="450" w:hanging="450"/>
        <w:rPr>
          <w:rFonts w:cs="Calibri"/>
        </w:rPr>
      </w:pPr>
      <w:proofErr w:type="gramStart"/>
      <w:r w:rsidRPr="00F27FA9">
        <w:rPr>
          <w:rFonts w:cs="Calibri"/>
        </w:rPr>
        <w:t xml:space="preserve">Smith, A., Stewart, D., </w:t>
      </w:r>
      <w:proofErr w:type="spellStart"/>
      <w:r w:rsidRPr="00F27FA9">
        <w:rPr>
          <w:rFonts w:cs="Calibri"/>
        </w:rPr>
        <w:t>Poon</w:t>
      </w:r>
      <w:proofErr w:type="spellEnd"/>
      <w:r w:rsidRPr="00F27FA9">
        <w:rPr>
          <w:rFonts w:cs="Calibri"/>
        </w:rPr>
        <w:t xml:space="preserve">, C., </w:t>
      </w:r>
      <w:proofErr w:type="spellStart"/>
      <w:r w:rsidRPr="00F27FA9">
        <w:rPr>
          <w:rFonts w:cs="Calibri"/>
        </w:rPr>
        <w:t>Peled</w:t>
      </w:r>
      <w:proofErr w:type="spellEnd"/>
      <w:r w:rsidRPr="00F27FA9">
        <w:rPr>
          <w:rFonts w:cs="Calibri"/>
        </w:rPr>
        <w:t xml:space="preserve">, M., </w:t>
      </w:r>
      <w:proofErr w:type="spellStart"/>
      <w:r w:rsidRPr="00F27FA9">
        <w:rPr>
          <w:rFonts w:cs="Calibri"/>
        </w:rPr>
        <w:t>Saewyc</w:t>
      </w:r>
      <w:proofErr w:type="spellEnd"/>
      <w:r w:rsidRPr="00F27FA9">
        <w:rPr>
          <w:rFonts w:cs="Calibri"/>
        </w:rPr>
        <w:t>, E., &amp; McCreary Centre Society (2014).</w:t>
      </w:r>
      <w:proofErr w:type="gramEnd"/>
      <w:r w:rsidRPr="00F27FA9">
        <w:rPr>
          <w:rFonts w:cs="Calibri"/>
        </w:rPr>
        <w:t xml:space="preserve"> </w:t>
      </w:r>
      <w:r w:rsidRPr="00F27FA9">
        <w:rPr>
          <w:rFonts w:cs="Calibri"/>
          <w:i/>
        </w:rPr>
        <w:t xml:space="preserve">From Hastings Street to </w:t>
      </w:r>
      <w:proofErr w:type="spellStart"/>
      <w:r w:rsidRPr="00F27FA9">
        <w:rPr>
          <w:rFonts w:cs="Calibri"/>
          <w:i/>
        </w:rPr>
        <w:t>Haida</w:t>
      </w:r>
      <w:proofErr w:type="spellEnd"/>
      <w:r w:rsidRPr="00F27FA9">
        <w:rPr>
          <w:rFonts w:cs="Calibri"/>
          <w:i/>
        </w:rPr>
        <w:t xml:space="preserve"> </w:t>
      </w:r>
      <w:proofErr w:type="spellStart"/>
      <w:r w:rsidRPr="00F27FA9">
        <w:rPr>
          <w:rFonts w:cs="Calibri"/>
          <w:i/>
        </w:rPr>
        <w:t>Gwaii</w:t>
      </w:r>
      <w:proofErr w:type="spellEnd"/>
      <w:r w:rsidRPr="00F27FA9">
        <w:rPr>
          <w:rFonts w:cs="Calibri"/>
          <w:i/>
        </w:rPr>
        <w:t>: Provincial results of the 2013 BC Adolescent Health Survey</w:t>
      </w:r>
      <w:r w:rsidRPr="00F27FA9">
        <w:rPr>
          <w:rFonts w:cs="Calibri"/>
        </w:rPr>
        <w:t>. Vancouver, BC: McCreary Centre Society.</w:t>
      </w:r>
    </w:p>
    <w:p w:rsidR="005748C8" w:rsidRDefault="005748C8" w:rsidP="003419D5">
      <w:pPr>
        <w:autoSpaceDE w:val="0"/>
        <w:autoSpaceDN w:val="0"/>
        <w:adjustRightInd w:val="0"/>
        <w:spacing w:after="0" w:line="240" w:lineRule="auto"/>
        <w:ind w:left="450" w:hanging="450"/>
        <w:rPr>
          <w:rFonts w:cs="Calibri"/>
        </w:rPr>
      </w:pPr>
    </w:p>
    <w:p w:rsidR="005748C8" w:rsidRDefault="005748C8" w:rsidP="003419D5">
      <w:pPr>
        <w:autoSpaceDE w:val="0"/>
        <w:autoSpaceDN w:val="0"/>
        <w:adjustRightInd w:val="0"/>
        <w:spacing w:after="0" w:line="240" w:lineRule="auto"/>
        <w:ind w:left="450" w:hanging="450"/>
        <w:rPr>
          <w:rFonts w:cs="HelveticaNeueLTStd-Lt"/>
        </w:rPr>
      </w:pPr>
      <w:proofErr w:type="gramStart"/>
      <w:r>
        <w:rPr>
          <w:rFonts w:cs="Calibri"/>
        </w:rPr>
        <w:lastRenderedPageBreak/>
        <w:t xml:space="preserve">Smith, A. </w:t>
      </w:r>
      <w:r w:rsidR="00BB5E22">
        <w:rPr>
          <w:rFonts w:cs="Calibri"/>
        </w:rPr>
        <w:t xml:space="preserve">Stewart, D., </w:t>
      </w:r>
      <w:proofErr w:type="spellStart"/>
      <w:r w:rsidR="00BB5E22">
        <w:rPr>
          <w:rFonts w:cs="Calibri"/>
        </w:rPr>
        <w:t>Poon</w:t>
      </w:r>
      <w:proofErr w:type="spellEnd"/>
      <w:r w:rsidR="00BB5E22">
        <w:rPr>
          <w:rFonts w:cs="Calibri"/>
        </w:rPr>
        <w:t xml:space="preserve">, C., </w:t>
      </w:r>
      <w:proofErr w:type="spellStart"/>
      <w:r w:rsidR="00BB5E22">
        <w:rPr>
          <w:rFonts w:cs="Calibri"/>
        </w:rPr>
        <w:t>Peled</w:t>
      </w:r>
      <w:proofErr w:type="spellEnd"/>
      <w:r w:rsidR="00BB5E22">
        <w:rPr>
          <w:rFonts w:cs="Calibri"/>
        </w:rPr>
        <w:t xml:space="preserve">, M., </w:t>
      </w:r>
      <w:proofErr w:type="spellStart"/>
      <w:r w:rsidR="00BB5E22">
        <w:rPr>
          <w:rFonts w:cs="Calibri"/>
        </w:rPr>
        <w:t>Saewyc</w:t>
      </w:r>
      <w:proofErr w:type="spellEnd"/>
      <w:r w:rsidR="00BB5E22">
        <w:rPr>
          <w:rFonts w:cs="Calibri"/>
        </w:rPr>
        <w:t>, E. &amp; McCreary Centre Society.</w:t>
      </w:r>
      <w:proofErr w:type="gramEnd"/>
      <w:r w:rsidR="00BB5E22">
        <w:rPr>
          <w:rFonts w:cs="Calibri"/>
        </w:rPr>
        <w:t xml:space="preserve"> (2015). </w:t>
      </w:r>
      <w:r w:rsidR="00633ACF">
        <w:rPr>
          <w:rFonts w:cs="Calibri"/>
          <w:i/>
        </w:rPr>
        <w:t xml:space="preserve">Our Communities, Our Youth: The health of homeless and street-involved youth in BC. </w:t>
      </w:r>
      <w:r w:rsidR="00633ACF">
        <w:rPr>
          <w:rFonts w:cs="Calibri"/>
        </w:rPr>
        <w:t>Vanc</w:t>
      </w:r>
      <w:r w:rsidR="00BB5E22">
        <w:rPr>
          <w:rFonts w:cs="Calibri"/>
        </w:rPr>
        <w:t>ouver, BC: McCreary Centre Society.</w:t>
      </w:r>
    </w:p>
    <w:p w:rsidR="003419D5" w:rsidRDefault="003419D5" w:rsidP="003419D5">
      <w:pPr>
        <w:autoSpaceDE w:val="0"/>
        <w:autoSpaceDN w:val="0"/>
        <w:adjustRightInd w:val="0"/>
        <w:spacing w:after="0" w:line="240" w:lineRule="auto"/>
        <w:rPr>
          <w:rFonts w:cs="HelveticaNeueLTStd-Lt"/>
        </w:rPr>
      </w:pPr>
    </w:p>
    <w:p w:rsidR="00CC0CCA" w:rsidRDefault="00CC0CCA" w:rsidP="000551B4">
      <w:pPr>
        <w:autoSpaceDE w:val="0"/>
        <w:autoSpaceDN w:val="0"/>
        <w:adjustRightInd w:val="0"/>
        <w:spacing w:after="0" w:line="240" w:lineRule="auto"/>
        <w:ind w:left="426" w:hanging="426"/>
        <w:rPr>
          <w:rFonts w:cs="HelveticaNeueLTStd-Lt"/>
        </w:rPr>
      </w:pPr>
      <w:proofErr w:type="gramStart"/>
      <w:r w:rsidRPr="00AE5F8D">
        <w:rPr>
          <w:rFonts w:cs="Arial"/>
          <w:lang w:val="en-US"/>
        </w:rPr>
        <w:t>Spinazzola,</w:t>
      </w:r>
      <w:r w:rsidR="00745D99">
        <w:rPr>
          <w:rFonts w:cs="Arial"/>
          <w:lang w:val="en-US"/>
        </w:rPr>
        <w:t xml:space="preserve"> J.,</w:t>
      </w:r>
      <w:r w:rsidRPr="00AE5F8D">
        <w:rPr>
          <w:rFonts w:cs="Arial"/>
          <w:lang w:val="en-US"/>
        </w:rPr>
        <w:t xml:space="preserve"> Rhodes,</w:t>
      </w:r>
      <w:r w:rsidR="00745D99">
        <w:rPr>
          <w:rFonts w:cs="Arial"/>
          <w:lang w:val="en-US"/>
        </w:rPr>
        <w:t xml:space="preserve"> A.M.,</w:t>
      </w:r>
      <w:r w:rsidRPr="00AE5F8D">
        <w:rPr>
          <w:rFonts w:cs="Arial"/>
          <w:lang w:val="en-US"/>
        </w:rPr>
        <w:t xml:space="preserve"> Emerson,</w:t>
      </w:r>
      <w:r w:rsidR="00745D99">
        <w:rPr>
          <w:rFonts w:cs="Arial"/>
          <w:lang w:val="en-US"/>
        </w:rPr>
        <w:t xml:space="preserve"> D.,</w:t>
      </w:r>
      <w:r w:rsidRPr="00AE5F8D">
        <w:rPr>
          <w:rFonts w:cs="Arial"/>
          <w:lang w:val="en-US"/>
        </w:rPr>
        <w:t xml:space="preserve"> Earle</w:t>
      </w:r>
      <w:r w:rsidR="00745D99">
        <w:rPr>
          <w:rFonts w:cs="Arial"/>
          <w:lang w:val="en-US"/>
        </w:rPr>
        <w:t>, E. &amp;</w:t>
      </w:r>
      <w:r w:rsidRPr="00AE5F8D">
        <w:rPr>
          <w:rFonts w:cs="Arial"/>
          <w:lang w:val="en-US"/>
        </w:rPr>
        <w:t xml:space="preserve"> Monroe</w:t>
      </w:r>
      <w:r w:rsidR="00745D99">
        <w:rPr>
          <w:rFonts w:cs="Arial"/>
          <w:lang w:val="en-US"/>
        </w:rPr>
        <w:t>, K. (2011).</w:t>
      </w:r>
      <w:proofErr w:type="gramEnd"/>
      <w:r w:rsidR="00745D99">
        <w:rPr>
          <w:rFonts w:cs="Arial"/>
          <w:lang w:val="en-US"/>
        </w:rPr>
        <w:t xml:space="preserve"> </w:t>
      </w:r>
      <w:proofErr w:type="gramStart"/>
      <w:r w:rsidR="000551B4" w:rsidRPr="000551B4">
        <w:rPr>
          <w:rFonts w:cs="Arial"/>
          <w:lang w:val="en-US"/>
        </w:rPr>
        <w:t>Application of Yoga in Residential Treatment of Traumatized Youth</w:t>
      </w:r>
      <w:r w:rsidR="000551B4">
        <w:rPr>
          <w:rFonts w:cs="Arial"/>
          <w:lang w:val="en-US"/>
        </w:rPr>
        <w:t>.</w:t>
      </w:r>
      <w:proofErr w:type="gramEnd"/>
      <w:r w:rsidR="000551B4">
        <w:rPr>
          <w:rFonts w:cs="Arial"/>
          <w:lang w:val="en-US"/>
        </w:rPr>
        <w:t xml:space="preserve"> </w:t>
      </w:r>
      <w:r w:rsidRPr="00AE5F8D">
        <w:rPr>
          <w:rFonts w:cs="Arial"/>
          <w:i/>
          <w:iCs/>
          <w:lang w:val="en-US"/>
        </w:rPr>
        <w:t xml:space="preserve">Journal of the American Psychiatric Nurses Association </w:t>
      </w:r>
      <w:r w:rsidRPr="00AE5F8D">
        <w:rPr>
          <w:rFonts w:cs="Arial"/>
          <w:lang w:val="en-US"/>
        </w:rPr>
        <w:t>2011 17: 431 originally published online 25 August 2011</w:t>
      </w:r>
    </w:p>
    <w:p w:rsidR="00CC0CCA" w:rsidRPr="00F27FA9" w:rsidRDefault="00CC0CCA" w:rsidP="003419D5">
      <w:pPr>
        <w:autoSpaceDE w:val="0"/>
        <w:autoSpaceDN w:val="0"/>
        <w:adjustRightInd w:val="0"/>
        <w:spacing w:after="0" w:line="240" w:lineRule="auto"/>
        <w:rPr>
          <w:rFonts w:cs="HelveticaNeueLTStd-Lt"/>
        </w:rPr>
      </w:pPr>
    </w:p>
    <w:p w:rsidR="002216DD" w:rsidRDefault="002216DD" w:rsidP="003419D5">
      <w:pPr>
        <w:autoSpaceDE w:val="0"/>
        <w:autoSpaceDN w:val="0"/>
        <w:adjustRightInd w:val="0"/>
        <w:spacing w:after="0" w:line="240" w:lineRule="auto"/>
        <w:ind w:left="450" w:hanging="450"/>
        <w:rPr>
          <w:rFonts w:cs="Calibri"/>
        </w:rPr>
      </w:pPr>
    </w:p>
    <w:p w:rsidR="002216DD" w:rsidRPr="002216DD" w:rsidRDefault="002216DD" w:rsidP="003419D5">
      <w:pPr>
        <w:autoSpaceDE w:val="0"/>
        <w:autoSpaceDN w:val="0"/>
        <w:adjustRightInd w:val="0"/>
        <w:spacing w:after="0" w:line="240" w:lineRule="auto"/>
        <w:ind w:left="450" w:hanging="450"/>
        <w:rPr>
          <w:rFonts w:cs="Calibri"/>
        </w:rPr>
      </w:pPr>
      <w:proofErr w:type="spellStart"/>
      <w:proofErr w:type="gramStart"/>
      <w:r>
        <w:rPr>
          <w:rFonts w:cs="Calibri"/>
        </w:rPr>
        <w:t>Totten</w:t>
      </w:r>
      <w:proofErr w:type="spellEnd"/>
      <w:r>
        <w:rPr>
          <w:rFonts w:cs="Calibri"/>
        </w:rPr>
        <w:t>, M. (2007).</w:t>
      </w:r>
      <w:proofErr w:type="gramEnd"/>
      <w:r>
        <w:rPr>
          <w:rFonts w:cs="Calibri"/>
        </w:rPr>
        <w:t xml:space="preserve"> </w:t>
      </w:r>
      <w:proofErr w:type="gramStart"/>
      <w:r>
        <w:rPr>
          <w:rFonts w:cs="Calibri"/>
          <w:i/>
        </w:rPr>
        <w:t>Gender-Responsive Young Offender Services and the Need for Female Staff.</w:t>
      </w:r>
      <w:proofErr w:type="gramEnd"/>
      <w:r>
        <w:rPr>
          <w:rFonts w:cs="Calibri"/>
        </w:rPr>
        <w:t xml:space="preserve"> Ottawa, ON: Youth Services Bureau of Ottawa.</w:t>
      </w:r>
    </w:p>
    <w:p w:rsidR="002216DD" w:rsidRDefault="002216DD" w:rsidP="003419D5">
      <w:pPr>
        <w:autoSpaceDE w:val="0"/>
        <w:autoSpaceDN w:val="0"/>
        <w:adjustRightInd w:val="0"/>
        <w:spacing w:after="0" w:line="240" w:lineRule="auto"/>
        <w:ind w:left="450" w:hanging="450"/>
        <w:rPr>
          <w:rFonts w:cs="Calibri"/>
        </w:rPr>
      </w:pPr>
    </w:p>
    <w:p w:rsidR="003419D5" w:rsidRDefault="003419D5" w:rsidP="003419D5">
      <w:pPr>
        <w:autoSpaceDE w:val="0"/>
        <w:autoSpaceDN w:val="0"/>
        <w:adjustRightInd w:val="0"/>
        <w:spacing w:after="0" w:line="240" w:lineRule="auto"/>
        <w:ind w:left="450" w:hanging="450"/>
        <w:rPr>
          <w:rFonts w:cs="Calibri"/>
        </w:rPr>
      </w:pPr>
      <w:proofErr w:type="spellStart"/>
      <w:proofErr w:type="gramStart"/>
      <w:r w:rsidRPr="00F27FA9">
        <w:rPr>
          <w:rFonts w:cs="Calibri"/>
        </w:rPr>
        <w:t>Tourand</w:t>
      </w:r>
      <w:proofErr w:type="spellEnd"/>
      <w:r w:rsidRPr="00F27FA9">
        <w:rPr>
          <w:rFonts w:cs="Calibri"/>
        </w:rPr>
        <w:t xml:space="preserve">, J., Smith, A., </w:t>
      </w:r>
      <w:proofErr w:type="spellStart"/>
      <w:r w:rsidRPr="00F27FA9">
        <w:rPr>
          <w:rFonts w:cs="Calibri"/>
        </w:rPr>
        <w:t>Poon</w:t>
      </w:r>
      <w:proofErr w:type="spellEnd"/>
      <w:r w:rsidRPr="00F27FA9">
        <w:rPr>
          <w:rFonts w:cs="Calibri"/>
        </w:rPr>
        <w:t xml:space="preserve">, C., </w:t>
      </w:r>
      <w:proofErr w:type="spellStart"/>
      <w:r w:rsidRPr="00F27FA9">
        <w:rPr>
          <w:rFonts w:cs="Calibri"/>
        </w:rPr>
        <w:t>Saewyc</w:t>
      </w:r>
      <w:proofErr w:type="spellEnd"/>
      <w:r w:rsidRPr="00F27FA9">
        <w:rPr>
          <w:rFonts w:cs="Calibri"/>
        </w:rPr>
        <w:t>, E., &amp; McCreary Centre Society (2016).</w:t>
      </w:r>
      <w:proofErr w:type="gramEnd"/>
      <w:r w:rsidRPr="00F27FA9">
        <w:rPr>
          <w:rFonts w:cs="Calibri"/>
        </w:rPr>
        <w:t xml:space="preserve"> </w:t>
      </w:r>
      <w:r w:rsidRPr="00F27FA9">
        <w:rPr>
          <w:rFonts w:cs="Calibri-Italic"/>
          <w:i/>
          <w:iCs/>
        </w:rPr>
        <w:t>Raven’s Children IV: Aboriginal youth health in BC</w:t>
      </w:r>
      <w:r w:rsidRPr="00F27FA9">
        <w:rPr>
          <w:rFonts w:cs="Calibri"/>
        </w:rPr>
        <w:t>. Vancouver, BC: McCreary Centre Society.</w:t>
      </w:r>
    </w:p>
    <w:p w:rsidR="006500FB" w:rsidRDefault="006500FB" w:rsidP="003419D5">
      <w:pPr>
        <w:autoSpaceDE w:val="0"/>
        <w:autoSpaceDN w:val="0"/>
        <w:adjustRightInd w:val="0"/>
        <w:spacing w:after="0" w:line="240" w:lineRule="auto"/>
        <w:ind w:left="450" w:hanging="450"/>
        <w:rPr>
          <w:rFonts w:cs="HelveticaNeueLTStd-Lt"/>
        </w:rPr>
      </w:pPr>
    </w:p>
    <w:p w:rsidR="004A0662" w:rsidRDefault="004A0662" w:rsidP="003419D5">
      <w:pPr>
        <w:autoSpaceDE w:val="0"/>
        <w:autoSpaceDN w:val="0"/>
        <w:adjustRightInd w:val="0"/>
        <w:spacing w:after="0" w:line="240" w:lineRule="auto"/>
        <w:ind w:left="450" w:hanging="450"/>
        <w:rPr>
          <w:rFonts w:cs="HelveticaNeueLTStd-Lt"/>
        </w:rPr>
      </w:pPr>
      <w:r>
        <w:rPr>
          <w:rFonts w:cs="HelveticaNeueLTStd-Lt"/>
        </w:rPr>
        <w:t>Weiss, J. (</w:t>
      </w:r>
      <w:proofErr w:type="spellStart"/>
      <w:r>
        <w:rPr>
          <w:rFonts w:cs="HelveticaNeueLTStd-Lt"/>
        </w:rPr>
        <w:t>n.d</w:t>
      </w:r>
      <w:proofErr w:type="spellEnd"/>
      <w:r>
        <w:rPr>
          <w:rFonts w:cs="HelveticaNeueLTStd-Lt"/>
        </w:rPr>
        <w:t xml:space="preserve">.). </w:t>
      </w:r>
      <w:proofErr w:type="gramStart"/>
      <w:r>
        <w:rPr>
          <w:rFonts w:cs="HelveticaNeueLTStd-Lt"/>
        </w:rPr>
        <w:t>“Yoga for Incarcerated Youth.</w:t>
      </w:r>
      <w:proofErr w:type="gramEnd"/>
      <w:r>
        <w:rPr>
          <w:rFonts w:cs="HelveticaNeueLTStd-Lt"/>
        </w:rPr>
        <w:t xml:space="preserve"> Yoga Life Skills </w:t>
      </w:r>
      <w:proofErr w:type="gramStart"/>
      <w:r>
        <w:rPr>
          <w:rFonts w:cs="HelveticaNeueLTStd-Lt"/>
        </w:rPr>
        <w:t>To</w:t>
      </w:r>
      <w:proofErr w:type="gramEnd"/>
      <w:r>
        <w:rPr>
          <w:rFonts w:cs="HelveticaNeueLTStd-Lt"/>
        </w:rPr>
        <w:t xml:space="preserve"> Incarcerated Youth and Underserved Communities.” </w:t>
      </w:r>
      <w:proofErr w:type="spellStart"/>
      <w:proofErr w:type="gramStart"/>
      <w:r>
        <w:rPr>
          <w:rFonts w:cs="HelveticaNeueLTStd-Lt"/>
        </w:rPr>
        <w:t>UpRising</w:t>
      </w:r>
      <w:proofErr w:type="spellEnd"/>
      <w:r>
        <w:rPr>
          <w:rFonts w:cs="HelveticaNeueLTStd-Lt"/>
        </w:rPr>
        <w:t xml:space="preserve"> Yoga.org.</w:t>
      </w:r>
      <w:proofErr w:type="gramEnd"/>
      <w:r>
        <w:rPr>
          <w:rFonts w:cs="HelveticaNeueLTStd-Lt"/>
        </w:rPr>
        <w:t xml:space="preserve"> </w:t>
      </w:r>
      <w:proofErr w:type="gramStart"/>
      <w:r>
        <w:rPr>
          <w:rFonts w:cs="HelveticaNeueLTStd-Lt"/>
        </w:rPr>
        <w:t xml:space="preserve">Retrieved from </w:t>
      </w:r>
      <w:hyperlink r:id="rId14" w:history="1">
        <w:r w:rsidRPr="00444612">
          <w:rPr>
            <w:rStyle w:val="Hyperlink"/>
            <w:rFonts w:cs="HelveticaNeueLTStd-Lt"/>
          </w:rPr>
          <w:t>http://www.uprisingyoga.org/</w:t>
        </w:r>
      </w:hyperlink>
      <w:r>
        <w:rPr>
          <w:rFonts w:cs="HelveticaNeueLTStd-Lt"/>
        </w:rPr>
        <w:t xml:space="preserve">  September 9, 2016.</w:t>
      </w:r>
      <w:proofErr w:type="gramEnd"/>
    </w:p>
    <w:p w:rsidR="004A0662" w:rsidRPr="00F27FA9" w:rsidRDefault="004A0662" w:rsidP="003419D5">
      <w:pPr>
        <w:autoSpaceDE w:val="0"/>
        <w:autoSpaceDN w:val="0"/>
        <w:adjustRightInd w:val="0"/>
        <w:spacing w:after="0" w:line="240" w:lineRule="auto"/>
        <w:ind w:left="450" w:hanging="450"/>
        <w:rPr>
          <w:rFonts w:cs="HelveticaNeueLTStd-Lt"/>
        </w:rPr>
      </w:pPr>
    </w:p>
    <w:p w:rsidR="003419D5" w:rsidRDefault="003419D5" w:rsidP="003419D5">
      <w:pPr>
        <w:autoSpaceDE w:val="0"/>
        <w:autoSpaceDN w:val="0"/>
        <w:adjustRightInd w:val="0"/>
        <w:spacing w:after="0" w:line="240" w:lineRule="auto"/>
        <w:ind w:left="450" w:hanging="450"/>
        <w:rPr>
          <w:color w:val="000000"/>
        </w:rPr>
      </w:pPr>
      <w:r w:rsidRPr="00F27FA9">
        <w:rPr>
          <w:color w:val="000000"/>
        </w:rPr>
        <w:t xml:space="preserve">White, W., Godley, M. &amp; Dennis, M. (2003) </w:t>
      </w:r>
      <w:proofErr w:type="gramStart"/>
      <w:r w:rsidRPr="00F27FA9">
        <w:rPr>
          <w:color w:val="000000"/>
        </w:rPr>
        <w:t>Early</w:t>
      </w:r>
      <w:proofErr w:type="gramEnd"/>
      <w:r w:rsidRPr="00F27FA9">
        <w:rPr>
          <w:color w:val="000000"/>
        </w:rPr>
        <w:t xml:space="preserve"> onset of substance abuse: Implications for student assistance programs. </w:t>
      </w:r>
      <w:r w:rsidRPr="00F27FA9">
        <w:rPr>
          <w:i/>
          <w:iCs/>
          <w:color w:val="000000"/>
        </w:rPr>
        <w:t>Student Assistance Journal, 16</w:t>
      </w:r>
      <w:r w:rsidRPr="00F27FA9">
        <w:rPr>
          <w:color w:val="000000"/>
        </w:rPr>
        <w:t>(1), 22-25.</w:t>
      </w:r>
    </w:p>
    <w:p w:rsidR="000A071B" w:rsidRDefault="000A071B" w:rsidP="003419D5">
      <w:pPr>
        <w:autoSpaceDE w:val="0"/>
        <w:autoSpaceDN w:val="0"/>
        <w:adjustRightInd w:val="0"/>
        <w:spacing w:after="0" w:line="240" w:lineRule="auto"/>
        <w:ind w:left="450" w:hanging="450"/>
        <w:rPr>
          <w:color w:val="000000"/>
        </w:rPr>
      </w:pPr>
    </w:p>
    <w:p w:rsidR="00B76BAA" w:rsidRPr="00B858E2" w:rsidRDefault="00B76BAA" w:rsidP="00B76BAA">
      <w:pPr>
        <w:autoSpaceDE w:val="0"/>
        <w:autoSpaceDN w:val="0"/>
        <w:adjustRightInd w:val="0"/>
        <w:spacing w:after="0" w:line="240" w:lineRule="auto"/>
        <w:ind w:left="426" w:hanging="426"/>
        <w:rPr>
          <w:rFonts w:cs="Arial"/>
        </w:rPr>
      </w:pPr>
      <w:r>
        <w:rPr>
          <w:rFonts w:cs="Arial"/>
        </w:rPr>
        <w:t>Williams, R.J. &amp; Chang,</w:t>
      </w:r>
      <w:r w:rsidRPr="00B858E2">
        <w:rPr>
          <w:rFonts w:cs="Arial"/>
        </w:rPr>
        <w:t xml:space="preserve"> S</w:t>
      </w:r>
      <w:r>
        <w:rPr>
          <w:rFonts w:cs="Arial"/>
        </w:rPr>
        <w:t>.</w:t>
      </w:r>
      <w:r w:rsidRPr="00B858E2">
        <w:rPr>
          <w:rFonts w:cs="Arial"/>
        </w:rPr>
        <w:t xml:space="preserve"> Y. Chang (2000). A Comprehensive and Comparative Review of Adolescent Substance Abuse Treatment Outcome. </w:t>
      </w:r>
      <w:r w:rsidRPr="00B76BAA">
        <w:rPr>
          <w:rFonts w:cs="Arial"/>
          <w:i/>
        </w:rPr>
        <w:t>Clinical Psychology: Science and Practice</w:t>
      </w:r>
      <w:r w:rsidRPr="00B858E2">
        <w:rPr>
          <w:rFonts w:cs="Arial"/>
        </w:rPr>
        <w:t>, Volume 7, Issue 2</w:t>
      </w:r>
      <w:r>
        <w:rPr>
          <w:rFonts w:cs="Arial"/>
        </w:rPr>
        <w:t>,</w:t>
      </w:r>
      <w:r w:rsidRPr="00B858E2">
        <w:rPr>
          <w:rFonts w:cs="Arial"/>
        </w:rPr>
        <w:t xml:space="preserve"> Pages 138–166</w:t>
      </w:r>
    </w:p>
    <w:p w:rsidR="00B76BAA" w:rsidRDefault="00B76BAA" w:rsidP="003419D5">
      <w:pPr>
        <w:autoSpaceDE w:val="0"/>
        <w:autoSpaceDN w:val="0"/>
        <w:adjustRightInd w:val="0"/>
        <w:spacing w:after="0" w:line="240" w:lineRule="auto"/>
        <w:ind w:left="450" w:hanging="450"/>
        <w:rPr>
          <w:color w:val="000000"/>
        </w:rPr>
      </w:pPr>
    </w:p>
    <w:p w:rsidR="000A071B" w:rsidRDefault="000A071B" w:rsidP="000A071B">
      <w:pPr>
        <w:autoSpaceDE w:val="0"/>
        <w:autoSpaceDN w:val="0"/>
        <w:adjustRightInd w:val="0"/>
        <w:spacing w:after="0" w:line="240" w:lineRule="auto"/>
        <w:ind w:left="426" w:hanging="426"/>
      </w:pPr>
      <w:proofErr w:type="spellStart"/>
      <w:proofErr w:type="gramStart"/>
      <w:r w:rsidRPr="00B933DD">
        <w:t>Zelechoski</w:t>
      </w:r>
      <w:proofErr w:type="spellEnd"/>
      <w:r>
        <w:t xml:space="preserve">, A.D., Sharma, R., </w:t>
      </w:r>
      <w:proofErr w:type="spellStart"/>
      <w:r>
        <w:t>Beserra</w:t>
      </w:r>
      <w:proofErr w:type="spellEnd"/>
      <w:r>
        <w:t>,</w:t>
      </w:r>
      <w:r w:rsidRPr="00B933DD">
        <w:t xml:space="preserve"> K</w:t>
      </w:r>
      <w:r>
        <w:t xml:space="preserve">., Miguel, </w:t>
      </w:r>
      <w:r w:rsidRPr="00B933DD">
        <w:t>J</w:t>
      </w:r>
      <w:r>
        <w:t>.</w:t>
      </w:r>
      <w:r w:rsidRPr="00B933DD">
        <w:t>L.</w:t>
      </w:r>
      <w:r>
        <w:t>,</w:t>
      </w:r>
      <w:r w:rsidRPr="00B933DD">
        <w:t xml:space="preserve"> </w:t>
      </w:r>
      <w:proofErr w:type="spellStart"/>
      <w:r>
        <w:t>DeMarco</w:t>
      </w:r>
      <w:proofErr w:type="spellEnd"/>
      <w:r>
        <w:t>, M. &amp; Spinazzola, J. (2013).</w:t>
      </w:r>
      <w:proofErr w:type="gramEnd"/>
      <w:r>
        <w:t xml:space="preserve"> </w:t>
      </w:r>
      <w:proofErr w:type="gramStart"/>
      <w:r>
        <w:t>Traumatized Youth in Residential Treatment Settings: Prevalence, Clinical Presentation, Treatment, and Policy Implications.</w:t>
      </w:r>
      <w:proofErr w:type="gramEnd"/>
      <w:r>
        <w:t xml:space="preserve"> </w:t>
      </w:r>
      <w:proofErr w:type="gramStart"/>
      <w:r w:rsidRPr="00B933DD">
        <w:rPr>
          <w:i/>
        </w:rPr>
        <w:t>J</w:t>
      </w:r>
      <w:r>
        <w:rPr>
          <w:i/>
        </w:rPr>
        <w:t>ournal of</w:t>
      </w:r>
      <w:r w:rsidRPr="00B933DD">
        <w:rPr>
          <w:i/>
        </w:rPr>
        <w:t xml:space="preserve"> Fam</w:t>
      </w:r>
      <w:r>
        <w:rPr>
          <w:i/>
        </w:rPr>
        <w:t>ily</w:t>
      </w:r>
      <w:r w:rsidRPr="00B933DD">
        <w:rPr>
          <w:i/>
        </w:rPr>
        <w:t xml:space="preserve"> Viol</w:t>
      </w:r>
      <w:r>
        <w:rPr>
          <w:i/>
        </w:rPr>
        <w:t>ence.</w:t>
      </w:r>
      <w:proofErr w:type="gramEnd"/>
      <w:r>
        <w:rPr>
          <w:i/>
        </w:rPr>
        <w:t xml:space="preserve"> </w:t>
      </w:r>
      <w:r>
        <w:t xml:space="preserve">DOI 10.1007/s10896-013-9534-9 </w:t>
      </w:r>
      <w:proofErr w:type="gramStart"/>
      <w:r>
        <w:t>Published</w:t>
      </w:r>
      <w:proofErr w:type="gramEnd"/>
      <w:r>
        <w:t xml:space="preserve"> Online 15 September 2013</w:t>
      </w:r>
      <w:r w:rsidR="002C014D">
        <w:t>.</w:t>
      </w:r>
    </w:p>
    <w:p w:rsidR="002C014D" w:rsidRDefault="002C014D" w:rsidP="000A071B">
      <w:pPr>
        <w:autoSpaceDE w:val="0"/>
        <w:autoSpaceDN w:val="0"/>
        <w:adjustRightInd w:val="0"/>
        <w:spacing w:after="0" w:line="240" w:lineRule="auto"/>
        <w:ind w:left="426" w:hanging="426"/>
      </w:pPr>
    </w:p>
    <w:p w:rsidR="00691D02" w:rsidRPr="00CB7DDE" w:rsidRDefault="00691D02" w:rsidP="000A071B">
      <w:pPr>
        <w:autoSpaceDE w:val="0"/>
        <w:autoSpaceDN w:val="0"/>
        <w:adjustRightInd w:val="0"/>
        <w:spacing w:after="0" w:line="240" w:lineRule="auto"/>
        <w:ind w:left="426" w:hanging="426"/>
      </w:pPr>
      <w:proofErr w:type="gramStart"/>
      <w:r>
        <w:t xml:space="preserve">Zhu, J.X. &amp; </w:t>
      </w:r>
      <w:proofErr w:type="spellStart"/>
      <w:r>
        <w:t>Rieder</w:t>
      </w:r>
      <w:proofErr w:type="spellEnd"/>
      <w:r>
        <w:t>, M. (2012).</w:t>
      </w:r>
      <w:proofErr w:type="gramEnd"/>
      <w:r>
        <w:t xml:space="preserve"> </w:t>
      </w:r>
      <w:proofErr w:type="gramStart"/>
      <w:r>
        <w:t xml:space="preserve">Interventions for inhalant abuse among First Nations </w:t>
      </w:r>
      <w:r w:rsidR="00CB7DDE">
        <w:t>youth.</w:t>
      </w:r>
      <w:proofErr w:type="gramEnd"/>
      <w:r w:rsidR="00CB7DDE">
        <w:t xml:space="preserve"> </w:t>
      </w:r>
      <w:proofErr w:type="spellStart"/>
      <w:r w:rsidR="00CB7DDE">
        <w:rPr>
          <w:i/>
        </w:rPr>
        <w:t>Paediatr</w:t>
      </w:r>
      <w:proofErr w:type="spellEnd"/>
      <w:r w:rsidR="00CB7DDE">
        <w:rPr>
          <w:i/>
        </w:rPr>
        <w:t xml:space="preserve"> Child Health, </w:t>
      </w:r>
      <w:proofErr w:type="spellStart"/>
      <w:r w:rsidR="00CB7DDE">
        <w:t>Vol</w:t>
      </w:r>
      <w:proofErr w:type="spellEnd"/>
      <w:r w:rsidR="00CB7DDE">
        <w:t xml:space="preserve"> 17(7): 391-392.</w:t>
      </w:r>
    </w:p>
    <w:p w:rsidR="00691D02" w:rsidRDefault="00691D02" w:rsidP="000A071B">
      <w:pPr>
        <w:autoSpaceDE w:val="0"/>
        <w:autoSpaceDN w:val="0"/>
        <w:adjustRightInd w:val="0"/>
        <w:spacing w:after="0" w:line="240" w:lineRule="auto"/>
        <w:ind w:left="426" w:hanging="426"/>
      </w:pPr>
    </w:p>
    <w:p w:rsidR="002C014D" w:rsidRPr="002C014D" w:rsidRDefault="002C014D" w:rsidP="000A071B">
      <w:pPr>
        <w:autoSpaceDE w:val="0"/>
        <w:autoSpaceDN w:val="0"/>
        <w:adjustRightInd w:val="0"/>
        <w:spacing w:after="0" w:line="240" w:lineRule="auto"/>
        <w:ind w:left="426" w:hanging="426"/>
        <w:rPr>
          <w:rFonts w:cs="Times New Roman"/>
          <w:b/>
        </w:rPr>
      </w:pPr>
      <w:proofErr w:type="spellStart"/>
      <w:proofErr w:type="gramStart"/>
      <w:r>
        <w:t>Zoogman</w:t>
      </w:r>
      <w:proofErr w:type="spellEnd"/>
      <w:r>
        <w:t>, S., Goldberg, S.B., Hoyt, W.T. &amp; Miller, L. (2014).</w:t>
      </w:r>
      <w:proofErr w:type="gramEnd"/>
      <w:r>
        <w:t xml:space="preserve"> Mindfulness Interventions with Youth: A Meta-Analysis. </w:t>
      </w:r>
      <w:proofErr w:type="gramStart"/>
      <w:r>
        <w:rPr>
          <w:i/>
        </w:rPr>
        <w:t>Mindfulness.</w:t>
      </w:r>
      <w:proofErr w:type="gramEnd"/>
      <w:r>
        <w:rPr>
          <w:i/>
        </w:rPr>
        <w:t xml:space="preserve"> </w:t>
      </w:r>
      <w:r>
        <w:t>New York: Springer Science.</w:t>
      </w:r>
      <w:r>
        <w:rPr>
          <w:i/>
        </w:rPr>
        <w:t xml:space="preserve"> </w:t>
      </w:r>
      <w:proofErr w:type="gramStart"/>
      <w:r>
        <w:t>Published online: 15 January 2014.</w:t>
      </w:r>
      <w:proofErr w:type="gramEnd"/>
      <w:r>
        <w:t xml:space="preserve"> DOI: 10.1007/s12671-013-0260-4.</w:t>
      </w:r>
    </w:p>
    <w:sectPr w:rsidR="002C014D" w:rsidRPr="002C014D" w:rsidSect="00F83436">
      <w:headerReference w:type="default" r:id="rId15"/>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1E94" w:rsidRDefault="00211E94" w:rsidP="004C7E38">
      <w:pPr>
        <w:spacing w:after="0" w:line="240" w:lineRule="auto"/>
      </w:pPr>
      <w:r>
        <w:separator/>
      </w:r>
    </w:p>
  </w:endnote>
  <w:endnote w:type="continuationSeparator" w:id="0">
    <w:p w:rsidR="00211E94" w:rsidRDefault="00211E94" w:rsidP="004C7E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Std-Th">
    <w:panose1 w:val="00000000000000000000"/>
    <w:charset w:val="00"/>
    <w:family w:val="swiss"/>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NeueLTStd-Roman">
    <w:panose1 w:val="00000000000000000000"/>
    <w:charset w:val="00"/>
    <w:family w:val="swiss"/>
    <w:notTrueType/>
    <w:pitch w:val="default"/>
    <w:sig w:usb0="00000003" w:usb1="00000000" w:usb2="00000000" w:usb3="00000000" w:csb0="00000001" w:csb1="00000000"/>
  </w:font>
  <w:font w:name="StoneSerif">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4919"/>
      <w:docPartObj>
        <w:docPartGallery w:val="Page Numbers (Bottom of Page)"/>
        <w:docPartUnique/>
      </w:docPartObj>
    </w:sdtPr>
    <w:sdtContent>
      <w:p w:rsidR="00FF1E7B" w:rsidRDefault="00A542DB">
        <w:pPr>
          <w:pStyle w:val="Footer"/>
          <w:jc w:val="center"/>
        </w:pPr>
        <w:fldSimple w:instr=" PAGE   \* MERGEFORMAT ">
          <w:r w:rsidR="003F0906">
            <w:rPr>
              <w:noProof/>
            </w:rPr>
            <w:t>28</w:t>
          </w:r>
        </w:fldSimple>
      </w:p>
    </w:sdtContent>
  </w:sdt>
  <w:p w:rsidR="00FF1E7B" w:rsidRDefault="00FF1E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1E94" w:rsidRDefault="00211E94" w:rsidP="004C7E38">
      <w:pPr>
        <w:spacing w:after="0" w:line="240" w:lineRule="auto"/>
      </w:pPr>
      <w:r>
        <w:separator/>
      </w:r>
    </w:p>
  </w:footnote>
  <w:footnote w:type="continuationSeparator" w:id="0">
    <w:p w:rsidR="00211E94" w:rsidRDefault="00211E94" w:rsidP="004C7E38">
      <w:pPr>
        <w:spacing w:after="0" w:line="240" w:lineRule="auto"/>
      </w:pPr>
      <w:r>
        <w:continuationSeparator/>
      </w:r>
    </w:p>
  </w:footnote>
  <w:footnote w:id="1">
    <w:p w:rsidR="00FF1E7B" w:rsidRDefault="00FF1E7B" w:rsidP="00E223A3">
      <w:pPr>
        <w:pStyle w:val="FootnoteText"/>
      </w:pPr>
      <w:r>
        <w:rPr>
          <w:rStyle w:val="FootnoteReference"/>
        </w:rPr>
        <w:footnoteRef/>
      </w:r>
      <w:proofErr w:type="gramStart"/>
      <w:r w:rsidRPr="00C90200">
        <w:rPr>
          <w:rFonts w:cs="HelveticaNeueLTStd-Th"/>
          <w:sz w:val="18"/>
          <w:szCs w:val="18"/>
        </w:rPr>
        <w:t xml:space="preserve">Renamed </w:t>
      </w:r>
      <w:r w:rsidRPr="00C90200">
        <w:rPr>
          <w:sz w:val="18"/>
          <w:szCs w:val="18"/>
        </w:rPr>
        <w:t xml:space="preserve">the </w:t>
      </w:r>
      <w:r w:rsidRPr="00C90200">
        <w:rPr>
          <w:i/>
          <w:sz w:val="18"/>
          <w:szCs w:val="18"/>
        </w:rPr>
        <w:t>Canadian Student Tobacco, Alcohol and Drugs Survey</w:t>
      </w:r>
      <w:r w:rsidRPr="00C90200">
        <w:rPr>
          <w:sz w:val="18"/>
          <w:szCs w:val="18"/>
        </w:rPr>
        <w:t>, or CSTADS</w:t>
      </w:r>
      <w:r>
        <w:rPr>
          <w:sz w:val="18"/>
          <w:szCs w:val="18"/>
        </w:rPr>
        <w:t>,</w:t>
      </w:r>
      <w:r w:rsidRPr="00C90200">
        <w:rPr>
          <w:sz w:val="18"/>
          <w:szCs w:val="18"/>
        </w:rPr>
        <w:t xml:space="preserve"> </w:t>
      </w:r>
      <w:r w:rsidRPr="00C90200">
        <w:rPr>
          <w:rFonts w:cs="HelveticaNeueLTStd-Th"/>
          <w:sz w:val="18"/>
          <w:szCs w:val="18"/>
        </w:rPr>
        <w:t xml:space="preserve">in the 2012-2013 </w:t>
      </w:r>
      <w:r>
        <w:rPr>
          <w:rFonts w:cs="HelveticaNeueLTStd-Th"/>
          <w:sz w:val="18"/>
          <w:szCs w:val="18"/>
        </w:rPr>
        <w:t xml:space="preserve">survey </w:t>
      </w:r>
      <w:r w:rsidRPr="00C90200">
        <w:rPr>
          <w:rFonts w:cs="HelveticaNeueLTStd-Th"/>
          <w:sz w:val="18"/>
          <w:szCs w:val="18"/>
        </w:rPr>
        <w:t xml:space="preserve">cycle (Propel </w:t>
      </w:r>
      <w:r>
        <w:rPr>
          <w:rFonts w:cs="HelveticaNeueLTStd-Th"/>
          <w:sz w:val="18"/>
          <w:szCs w:val="18"/>
        </w:rPr>
        <w:t xml:space="preserve">Centre for </w:t>
      </w:r>
      <w:r w:rsidRPr="00C90200">
        <w:rPr>
          <w:rFonts w:cs="HelveticaNeueLTStd-Th"/>
          <w:sz w:val="18"/>
          <w:szCs w:val="18"/>
        </w:rPr>
        <w:t xml:space="preserve">Population Health </w:t>
      </w:r>
      <w:r>
        <w:rPr>
          <w:rFonts w:cs="HelveticaNeueLTStd-Th"/>
          <w:sz w:val="18"/>
          <w:szCs w:val="18"/>
        </w:rPr>
        <w:t>Impact</w:t>
      </w:r>
      <w:r w:rsidRPr="00C90200">
        <w:rPr>
          <w:rFonts w:cs="HelveticaNeueLTStd-Th"/>
          <w:sz w:val="18"/>
          <w:szCs w:val="18"/>
        </w:rPr>
        <w:t>, University of Waterloo</w:t>
      </w:r>
      <w:r>
        <w:rPr>
          <w:rFonts w:cs="HelveticaNeueLTStd-Th"/>
          <w:sz w:val="18"/>
          <w:szCs w:val="18"/>
        </w:rPr>
        <w:t>.</w:t>
      </w:r>
      <w:proofErr w:type="gramEnd"/>
      <w:r>
        <w:rPr>
          <w:rFonts w:cs="HelveticaNeueLTStd-Th"/>
          <w:sz w:val="18"/>
          <w:szCs w:val="18"/>
        </w:rPr>
        <w:t xml:space="preserve"> More recent versions of the survey have also incorporated questions about exercise and eating habits, connectedness to school and bullying</w:t>
      </w:r>
      <w:r w:rsidRPr="00C90200">
        <w:rPr>
          <w:rFonts w:cs="HelveticaNeueLTStd-Th"/>
          <w:sz w:val="18"/>
          <w:szCs w:val="18"/>
        </w:rPr>
        <w:t xml:space="preserve">. </w:t>
      </w:r>
      <w:hyperlink r:id="rId1" w:history="1">
        <w:r w:rsidRPr="00C90200">
          <w:rPr>
            <w:rStyle w:val="Hyperlink"/>
            <w:rFonts w:cs="HelveticaNeueLTStd-Th"/>
            <w:sz w:val="18"/>
            <w:szCs w:val="18"/>
          </w:rPr>
          <w:t>https://uwaterloo.ca/canadian-student-tobacco-alcohol-drugs-survey/</w:t>
        </w:r>
      </w:hyperlink>
      <w:r w:rsidRPr="00C90200">
        <w:rPr>
          <w:rFonts w:cs="HelveticaNeueLTStd-Th"/>
          <w:sz w:val="18"/>
          <w:szCs w:val="18"/>
        </w:rPr>
        <w:t xml:space="preserve"> retrieved August 19, 2016.</w:t>
      </w:r>
      <w:r>
        <w:rPr>
          <w:rFonts w:cs="HelveticaNeueLTStd-Th"/>
          <w:sz w:val="18"/>
          <w:szCs w:val="18"/>
        </w:rPr>
        <w:t xml:space="preserve"> </w:t>
      </w:r>
    </w:p>
  </w:footnote>
  <w:footnote w:id="2">
    <w:p w:rsidR="00FF1E7B" w:rsidRDefault="00FF1E7B" w:rsidP="005E7B02">
      <w:pPr>
        <w:pStyle w:val="FootnoteText"/>
      </w:pPr>
      <w:r>
        <w:rPr>
          <w:rStyle w:val="FootnoteReference"/>
        </w:rPr>
        <w:footnoteRef/>
      </w:r>
      <w:r>
        <w:t xml:space="preserve"> </w:t>
      </w:r>
      <w:r w:rsidRPr="00E223A3">
        <w:rPr>
          <w:rFonts w:cs="HelveticaNeueLTStd-Th"/>
          <w:sz w:val="18"/>
          <w:szCs w:val="18"/>
        </w:rPr>
        <w:t>This survey is administered to students in grades 7 -12 who are enrolled in mainstream schools, including schools on First Nations reserves</w:t>
      </w:r>
      <w:r>
        <w:rPr>
          <w:rFonts w:cs="HelveticaNeueLTStd-Th"/>
          <w:sz w:val="18"/>
          <w:szCs w:val="18"/>
        </w:rPr>
        <w:t xml:space="preserve"> Approximately 30,000 youth 12 – 19 years of age were surveyed in 2013. Aboriginal youth comprise approximately 10% of the survey respondents (or approximately 3,000 students).</w:t>
      </w:r>
    </w:p>
  </w:footnote>
  <w:footnote w:id="3">
    <w:p w:rsidR="00FF1E7B" w:rsidRDefault="00FF1E7B">
      <w:pPr>
        <w:pStyle w:val="FootnoteText"/>
      </w:pPr>
      <w:r>
        <w:rPr>
          <w:rStyle w:val="FootnoteReference"/>
        </w:rPr>
        <w:footnoteRef/>
      </w:r>
      <w:r>
        <w:t xml:space="preserve"> </w:t>
      </w:r>
      <w:r w:rsidRPr="00BD1546">
        <w:rPr>
          <w:rFonts w:cs="HelveticaNeueLTStd-Th"/>
          <w:sz w:val="18"/>
          <w:szCs w:val="18"/>
        </w:rPr>
        <w:t xml:space="preserve">This particular study surveyed youth who were struggling with mental health challenges and/or substance use disorders. These youths also provided their input and feedback on the accessibility and effectiveness of the mental health and drug treatment services they had accessed or tried to access (Cox, Smith, </w:t>
      </w:r>
      <w:proofErr w:type="spellStart"/>
      <w:r w:rsidRPr="00BD1546">
        <w:rPr>
          <w:rFonts w:cs="HelveticaNeueLTStd-Th"/>
          <w:sz w:val="18"/>
          <w:szCs w:val="18"/>
        </w:rPr>
        <w:t>Peled</w:t>
      </w:r>
      <w:proofErr w:type="spellEnd"/>
      <w:r w:rsidRPr="00BD1546">
        <w:rPr>
          <w:rFonts w:cs="HelveticaNeueLTStd-Th"/>
          <w:sz w:val="18"/>
          <w:szCs w:val="18"/>
        </w:rPr>
        <w:t xml:space="preserve"> &amp; Mc</w:t>
      </w:r>
      <w:r w:rsidRPr="00964296">
        <w:rPr>
          <w:rFonts w:cs="HelveticaNeueLTStd-Th"/>
          <w:sz w:val="18"/>
          <w:szCs w:val="18"/>
        </w:rPr>
        <w:t>C</w:t>
      </w:r>
      <w:r w:rsidRPr="00E000C9">
        <w:rPr>
          <w:rFonts w:cs="HelveticaNeueLTStd-Th"/>
          <w:sz w:val="18"/>
          <w:szCs w:val="18"/>
        </w:rPr>
        <w:t xml:space="preserve">reary </w:t>
      </w:r>
      <w:r w:rsidRPr="00964296">
        <w:rPr>
          <w:rFonts w:cs="HelveticaNeueLTStd-Th"/>
          <w:sz w:val="18"/>
          <w:szCs w:val="18"/>
        </w:rPr>
        <w:t>Centre Society, 2013</w:t>
      </w:r>
      <w:r>
        <w:rPr>
          <w:rFonts w:cs="HelveticaNeueLTStd-Th"/>
          <w:sz w:val="18"/>
          <w:szCs w:val="18"/>
        </w:rPr>
        <w:t>).</w:t>
      </w:r>
    </w:p>
  </w:footnote>
  <w:footnote w:id="4">
    <w:p w:rsidR="00FF1E7B" w:rsidRDefault="00FF1E7B">
      <w:pPr>
        <w:pStyle w:val="FootnoteText"/>
      </w:pPr>
      <w:r>
        <w:rPr>
          <w:rStyle w:val="FootnoteReference"/>
        </w:rPr>
        <w:footnoteRef/>
      </w:r>
      <w:r>
        <w:t xml:space="preserve"> </w:t>
      </w:r>
      <w:r w:rsidRPr="00550708">
        <w:rPr>
          <w:rFonts w:cs="HelveticaNeueLTStd-Th"/>
          <w:sz w:val="18"/>
          <w:szCs w:val="18"/>
        </w:rPr>
        <w:t>According to Smith, Cox, et al, the prevalence of mental/emotional health conditions is approximately 2.5 times higher than that reported by youth in school (2013, p. 20).</w:t>
      </w:r>
    </w:p>
  </w:footnote>
  <w:footnote w:id="5">
    <w:p w:rsidR="00FF1E7B" w:rsidRPr="00550708" w:rsidRDefault="00FF1E7B">
      <w:pPr>
        <w:pStyle w:val="FootnoteText"/>
        <w:rPr>
          <w:sz w:val="18"/>
          <w:szCs w:val="18"/>
        </w:rPr>
      </w:pPr>
      <w:r>
        <w:rPr>
          <w:rStyle w:val="FootnoteReference"/>
        </w:rPr>
        <w:footnoteRef/>
      </w:r>
      <w:r>
        <w:t xml:space="preserve"> </w:t>
      </w:r>
      <w:r>
        <w:rPr>
          <w:sz w:val="18"/>
          <w:szCs w:val="18"/>
        </w:rPr>
        <w:t xml:space="preserve">Smith, Cox, et al note that just over one-third (36%) of Aboriginal youth in custody indicated they had been diagnosed with FASD; furthermore, “virtually all youth in custody who had been diagnosed with FASD reported being of Aboriginal descent </w:t>
      </w:r>
      <w:proofErr w:type="gramStart"/>
      <w:r>
        <w:rPr>
          <w:sz w:val="18"/>
          <w:szCs w:val="18"/>
        </w:rPr>
        <w:t>“ (</w:t>
      </w:r>
      <w:proofErr w:type="gramEnd"/>
      <w:r>
        <w:rPr>
          <w:sz w:val="18"/>
          <w:szCs w:val="18"/>
        </w:rPr>
        <w:t>2013, p. 22).</w:t>
      </w:r>
    </w:p>
  </w:footnote>
  <w:footnote w:id="6">
    <w:p w:rsidR="00FF1E7B" w:rsidRPr="00F80080" w:rsidRDefault="00FF1E7B">
      <w:pPr>
        <w:pStyle w:val="FootnoteText"/>
        <w:rPr>
          <w:sz w:val="18"/>
          <w:szCs w:val="18"/>
        </w:rPr>
      </w:pPr>
      <w:r>
        <w:rPr>
          <w:rStyle w:val="FootnoteReference"/>
        </w:rPr>
        <w:footnoteRef/>
      </w:r>
      <w:r>
        <w:t xml:space="preserve"> </w:t>
      </w:r>
      <w:r w:rsidRPr="00F80080">
        <w:rPr>
          <w:sz w:val="18"/>
          <w:szCs w:val="18"/>
        </w:rPr>
        <w:t>Cox, Smith, et al</w:t>
      </w:r>
      <w:r>
        <w:rPr>
          <w:sz w:val="18"/>
          <w:szCs w:val="18"/>
        </w:rPr>
        <w:t xml:space="preserve"> (2013)</w:t>
      </w:r>
      <w:r w:rsidRPr="00F80080">
        <w:rPr>
          <w:sz w:val="18"/>
          <w:szCs w:val="18"/>
        </w:rPr>
        <w:t xml:space="preserve"> note that </w:t>
      </w:r>
      <w:r>
        <w:rPr>
          <w:sz w:val="18"/>
          <w:szCs w:val="18"/>
        </w:rPr>
        <w:t>the majority of the youth with concurrent mental health and substance use disorders in their study had also experienced  or were currently homeless at the time of the study. Furthermore, the youths recognized that the stress of not having anywhere to live can often lead to substance use; conversely, youth also reported that supported, stable housing and ensuring that other basic needs are met has a positive impact on both their mental health and substance use (Cox, Smith, et al, 2013, p.9).</w:t>
      </w:r>
    </w:p>
  </w:footnote>
  <w:footnote w:id="7">
    <w:p w:rsidR="00FF1E7B" w:rsidRPr="004E697F" w:rsidRDefault="00FF1E7B" w:rsidP="000F3CF5">
      <w:pPr>
        <w:pStyle w:val="FootnoteText"/>
      </w:pPr>
      <w:r>
        <w:rPr>
          <w:rStyle w:val="FootnoteReference"/>
        </w:rPr>
        <w:footnoteRef/>
      </w:r>
      <w:r>
        <w:t xml:space="preserve"> </w:t>
      </w:r>
      <w:r w:rsidRPr="0064329F">
        <w:rPr>
          <w:sz w:val="18"/>
          <w:szCs w:val="18"/>
        </w:rPr>
        <w:t xml:space="preserve">Note that while Aboriginal youth are generally </w:t>
      </w:r>
      <w:r w:rsidRPr="0064329F">
        <w:rPr>
          <w:i/>
          <w:sz w:val="18"/>
          <w:szCs w:val="18"/>
        </w:rPr>
        <w:t xml:space="preserve">underrepresented </w:t>
      </w:r>
      <w:r w:rsidRPr="0064329F">
        <w:rPr>
          <w:sz w:val="18"/>
          <w:szCs w:val="18"/>
        </w:rPr>
        <w:t xml:space="preserve">in educational and other institutions, Aboriginal youth are </w:t>
      </w:r>
      <w:r w:rsidRPr="0064329F">
        <w:rPr>
          <w:i/>
          <w:sz w:val="18"/>
          <w:szCs w:val="18"/>
        </w:rPr>
        <w:t>overrepresented</w:t>
      </w:r>
      <w:r w:rsidRPr="0064329F">
        <w:rPr>
          <w:sz w:val="18"/>
          <w:szCs w:val="18"/>
        </w:rPr>
        <w:t xml:space="preserve"> in the youth justice system and among populations of at-risk, street-involved youth (Smith, Stewart, et al, 2015; Smith, Cox, et al, 2013).</w:t>
      </w:r>
    </w:p>
  </w:footnote>
  <w:footnote w:id="8">
    <w:p w:rsidR="00FF1E7B" w:rsidRPr="00FA241C" w:rsidRDefault="00FF1E7B">
      <w:pPr>
        <w:pStyle w:val="FootnoteText"/>
        <w:rPr>
          <w:sz w:val="18"/>
          <w:szCs w:val="18"/>
        </w:rPr>
      </w:pPr>
      <w:r w:rsidRPr="00FA241C">
        <w:rPr>
          <w:rStyle w:val="FootnoteReference"/>
          <w:sz w:val="18"/>
          <w:szCs w:val="18"/>
        </w:rPr>
        <w:footnoteRef/>
      </w:r>
      <w:r w:rsidRPr="00FA241C">
        <w:rPr>
          <w:sz w:val="18"/>
          <w:szCs w:val="18"/>
        </w:rPr>
        <w:t xml:space="preserve"> </w:t>
      </w:r>
      <w:r w:rsidRPr="00FA241C">
        <w:rPr>
          <w:rFonts w:cs="HelveticaNeueLTStd-Th"/>
          <w:sz w:val="18"/>
          <w:szCs w:val="18"/>
        </w:rPr>
        <w:t xml:space="preserve">However, youth who completed the </w:t>
      </w:r>
      <w:r w:rsidRPr="00A72E31">
        <w:rPr>
          <w:rFonts w:cs="HelveticaNeueLTStd-Th"/>
          <w:i/>
          <w:sz w:val="18"/>
          <w:szCs w:val="18"/>
        </w:rPr>
        <w:t>BC AHS</w:t>
      </w:r>
      <w:r w:rsidRPr="00FA241C">
        <w:rPr>
          <w:rFonts w:cs="HelveticaNeueLTStd-Th"/>
          <w:sz w:val="18"/>
          <w:szCs w:val="18"/>
        </w:rPr>
        <w:t xml:space="preserve"> had also reported relatively low rates of substance abuse disorders: six percent of Aboriginal youth and a maximum of one percent of non-Aboriginal youth stated they struggled with a substance use disorder (Smith, </w:t>
      </w:r>
      <w:proofErr w:type="spellStart"/>
      <w:r w:rsidRPr="00FA241C">
        <w:rPr>
          <w:rFonts w:cs="HelveticaNeueLTStd-Th"/>
          <w:sz w:val="18"/>
          <w:szCs w:val="18"/>
        </w:rPr>
        <w:t>Poon</w:t>
      </w:r>
      <w:proofErr w:type="spellEnd"/>
      <w:r w:rsidRPr="00FA241C">
        <w:rPr>
          <w:rFonts w:cs="HelveticaNeueLTStd-Th"/>
          <w:sz w:val="18"/>
          <w:szCs w:val="18"/>
        </w:rPr>
        <w:t xml:space="preserve">, et al, 2014; </w:t>
      </w:r>
      <w:proofErr w:type="spellStart"/>
      <w:r w:rsidRPr="00FA241C">
        <w:rPr>
          <w:rFonts w:cs="HelveticaNeueLTStd-Th"/>
          <w:sz w:val="18"/>
          <w:szCs w:val="18"/>
        </w:rPr>
        <w:t>Tourand</w:t>
      </w:r>
      <w:proofErr w:type="spellEnd"/>
      <w:r w:rsidRPr="00FA241C">
        <w:rPr>
          <w:rFonts w:cs="HelveticaNeueLTStd-Th"/>
          <w:sz w:val="18"/>
          <w:szCs w:val="18"/>
        </w:rPr>
        <w:t>, Smith, et al, 2016)</w:t>
      </w:r>
    </w:p>
  </w:footnote>
  <w:footnote w:id="9">
    <w:p w:rsidR="00FF1E7B" w:rsidRDefault="00FF1E7B" w:rsidP="00832517">
      <w:pPr>
        <w:pStyle w:val="FootnoteText"/>
      </w:pPr>
      <w:r>
        <w:rPr>
          <w:rStyle w:val="FootnoteReference"/>
        </w:rPr>
        <w:footnoteRef/>
      </w:r>
      <w:r>
        <w:t xml:space="preserve"> </w:t>
      </w:r>
      <w:r w:rsidRPr="00E76C9D">
        <w:rPr>
          <w:rFonts w:cs="HelveticaNeueLTStd-Th"/>
          <w:sz w:val="18"/>
          <w:szCs w:val="18"/>
        </w:rPr>
        <w:t xml:space="preserve">Cotter et al found that while more than half the cases (57%) involving charges of possession of cannabis (marijuana) were either diverted from court (via referrals to alternative or extrajudicial measures) or processed through a prosecutorial decision to stay, withdraw, or dismiss the charges, cannabis supply-related drug charges were slightly more likely to proceed to court and result in a finding of guilt (2015, p. 36). Furthermore,  analysis also indicates that both possession and supply-related drug charges are much more likely to result in a finding of guilt when the drug in question is </w:t>
      </w:r>
      <w:proofErr w:type="spellStart"/>
      <w:r w:rsidRPr="00E76C9D">
        <w:rPr>
          <w:rFonts w:cs="HelveticaNeueLTStd-Th"/>
          <w:sz w:val="18"/>
          <w:szCs w:val="18"/>
        </w:rPr>
        <w:t>methamphetimine</w:t>
      </w:r>
      <w:proofErr w:type="spellEnd"/>
      <w:r w:rsidRPr="00E76C9D">
        <w:rPr>
          <w:rFonts w:cs="HelveticaNeueLTStd-Th"/>
          <w:sz w:val="18"/>
          <w:szCs w:val="18"/>
        </w:rPr>
        <w:t>, ecstasy, cocaine, or controlled substances other than heroin (2015, p. 36).</w:t>
      </w:r>
    </w:p>
  </w:footnote>
  <w:footnote w:id="10">
    <w:p w:rsidR="00FF1E7B" w:rsidRDefault="00FF1E7B">
      <w:pPr>
        <w:pStyle w:val="FootnoteText"/>
      </w:pPr>
      <w:r>
        <w:rPr>
          <w:rStyle w:val="FootnoteReference"/>
        </w:rPr>
        <w:footnoteRef/>
      </w:r>
      <w:r>
        <w:t xml:space="preserve"> </w:t>
      </w:r>
      <w:r w:rsidRPr="002964E8">
        <w:rPr>
          <w:rFonts w:cs="HelveticaNeueLTStd-Th"/>
          <w:sz w:val="18"/>
          <w:szCs w:val="18"/>
        </w:rPr>
        <w:t>Based on their observations in Ontario, Scully and Finlay note that traumatized youth staying in group homes are particularly likely to end up in the youth justice system and are at greater risk of incurring “breach of bail/probation” charges due to the restrictive conditions and rigid structure of such care arrangements and a propensity of staff to deal with behaviour issues by calling the police and laying charges against a youth (2015, p. 4)</w:t>
      </w:r>
      <w:r>
        <w:rPr>
          <w:rFonts w:cs="HelveticaNeueLTStd-Th"/>
          <w:sz w:val="18"/>
          <w:szCs w:val="18"/>
        </w:rPr>
        <w:t>.</w:t>
      </w:r>
    </w:p>
  </w:footnote>
  <w:footnote w:id="11">
    <w:p w:rsidR="00FF1E7B" w:rsidRDefault="00FF1E7B">
      <w:pPr>
        <w:pStyle w:val="FootnoteText"/>
      </w:pPr>
      <w:r>
        <w:rPr>
          <w:rStyle w:val="FootnoteReference"/>
        </w:rPr>
        <w:footnoteRef/>
      </w:r>
      <w:r>
        <w:t xml:space="preserve"> </w:t>
      </w:r>
      <w:r w:rsidRPr="00DA74EF">
        <w:rPr>
          <w:sz w:val="18"/>
          <w:szCs w:val="18"/>
        </w:rPr>
        <w:t>However, engaging and retaining adolescents in substance abuse treatment is often a challenge, and even more so for youth who have trauma histories (</w:t>
      </w:r>
      <w:proofErr w:type="spellStart"/>
      <w:r w:rsidRPr="00DA74EF">
        <w:rPr>
          <w:sz w:val="18"/>
          <w:szCs w:val="18"/>
        </w:rPr>
        <w:t>Jaycox</w:t>
      </w:r>
      <w:proofErr w:type="spellEnd"/>
      <w:r w:rsidRPr="00DA74EF">
        <w:rPr>
          <w:sz w:val="18"/>
          <w:szCs w:val="18"/>
        </w:rPr>
        <w:t xml:space="preserve">, </w:t>
      </w:r>
      <w:proofErr w:type="spellStart"/>
      <w:r w:rsidRPr="00DA74EF">
        <w:rPr>
          <w:sz w:val="18"/>
          <w:szCs w:val="18"/>
        </w:rPr>
        <w:t>Ebener</w:t>
      </w:r>
      <w:proofErr w:type="spellEnd"/>
      <w:r w:rsidRPr="00DA74EF">
        <w:rPr>
          <w:sz w:val="18"/>
          <w:szCs w:val="18"/>
        </w:rPr>
        <w:t xml:space="preserve">, </w:t>
      </w:r>
      <w:proofErr w:type="spellStart"/>
      <w:r w:rsidRPr="00DA74EF">
        <w:rPr>
          <w:sz w:val="18"/>
          <w:szCs w:val="18"/>
        </w:rPr>
        <w:t>Damesek</w:t>
      </w:r>
      <w:proofErr w:type="spellEnd"/>
      <w:r w:rsidRPr="00DA74EF">
        <w:rPr>
          <w:sz w:val="18"/>
          <w:szCs w:val="18"/>
        </w:rPr>
        <w:t xml:space="preserve"> &amp; Becker, 2004; Ford, Hawke, </w:t>
      </w:r>
      <w:proofErr w:type="spellStart"/>
      <w:r w:rsidRPr="00DA74EF">
        <w:rPr>
          <w:sz w:val="18"/>
          <w:szCs w:val="18"/>
        </w:rPr>
        <w:t>Alessi</w:t>
      </w:r>
      <w:proofErr w:type="spellEnd"/>
      <w:r w:rsidRPr="00DA74EF">
        <w:rPr>
          <w:sz w:val="18"/>
          <w:szCs w:val="18"/>
        </w:rPr>
        <w:t xml:space="preserve">, </w:t>
      </w:r>
      <w:proofErr w:type="spellStart"/>
      <w:r w:rsidRPr="00DA74EF">
        <w:rPr>
          <w:sz w:val="18"/>
          <w:szCs w:val="18"/>
        </w:rPr>
        <w:t>Ledgerwood</w:t>
      </w:r>
      <w:proofErr w:type="spellEnd"/>
      <w:r w:rsidRPr="00DA74EF">
        <w:rPr>
          <w:sz w:val="18"/>
          <w:szCs w:val="18"/>
        </w:rPr>
        <w:t xml:space="preserve"> &amp; </w:t>
      </w:r>
      <w:proofErr w:type="spellStart"/>
      <w:r w:rsidRPr="00DA74EF">
        <w:rPr>
          <w:sz w:val="18"/>
          <w:szCs w:val="18"/>
        </w:rPr>
        <w:t>Petry</w:t>
      </w:r>
      <w:proofErr w:type="spellEnd"/>
      <w:r w:rsidRPr="00DA74EF">
        <w:rPr>
          <w:sz w:val="18"/>
          <w:szCs w:val="18"/>
        </w:rPr>
        <w:t>, 2007; Shane, Diamond, et al, 2006).</w:t>
      </w:r>
    </w:p>
  </w:footnote>
  <w:footnote w:id="12">
    <w:p w:rsidR="00FF1E7B" w:rsidRPr="00F777A3" w:rsidRDefault="00FF1E7B" w:rsidP="006A7E2D">
      <w:pPr>
        <w:pStyle w:val="FootnoteText"/>
        <w:rPr>
          <w:sz w:val="18"/>
          <w:szCs w:val="18"/>
        </w:rPr>
      </w:pPr>
      <w:r>
        <w:rPr>
          <w:rStyle w:val="FootnoteReference"/>
        </w:rPr>
        <w:footnoteRef/>
      </w:r>
      <w:r>
        <w:t xml:space="preserve"> </w:t>
      </w:r>
      <w:r w:rsidRPr="00F777A3">
        <w:rPr>
          <w:sz w:val="18"/>
          <w:szCs w:val="18"/>
        </w:rPr>
        <w:t xml:space="preserve">Ford and </w:t>
      </w:r>
      <w:proofErr w:type="spellStart"/>
      <w:r w:rsidRPr="00F777A3">
        <w:rPr>
          <w:sz w:val="18"/>
          <w:szCs w:val="18"/>
        </w:rPr>
        <w:t>Blaustein</w:t>
      </w:r>
      <w:proofErr w:type="spellEnd"/>
      <w:r w:rsidRPr="00F777A3">
        <w:rPr>
          <w:sz w:val="18"/>
          <w:szCs w:val="18"/>
        </w:rPr>
        <w:t xml:space="preserve"> explain that self-regulation “involves the ability to: (1) consciously focus attention, (2) be aware of the environment and one’s own physical and emotional body states; (3) draw on memory in order to learn from the past and adapt effectively in the present; and, (4) maintain or regain emotion states that provide a genuine sense of well-being and lead to further self-regulation.” (2013, p. 6).</w:t>
      </w:r>
    </w:p>
  </w:footnote>
  <w:footnote w:id="13">
    <w:p w:rsidR="00FF1E7B" w:rsidRPr="00F777A3" w:rsidRDefault="00FF1E7B">
      <w:pPr>
        <w:pStyle w:val="FootnoteText"/>
        <w:rPr>
          <w:sz w:val="18"/>
          <w:szCs w:val="18"/>
        </w:rPr>
      </w:pPr>
      <w:r w:rsidRPr="00F777A3">
        <w:rPr>
          <w:rStyle w:val="FootnoteReference"/>
          <w:sz w:val="18"/>
          <w:szCs w:val="18"/>
        </w:rPr>
        <w:footnoteRef/>
      </w:r>
      <w:r w:rsidRPr="00F777A3">
        <w:rPr>
          <w:sz w:val="18"/>
          <w:szCs w:val="18"/>
        </w:rPr>
        <w:t xml:space="preserve"> Buffington, </w:t>
      </w:r>
      <w:proofErr w:type="spellStart"/>
      <w:r w:rsidRPr="00F777A3">
        <w:rPr>
          <w:sz w:val="18"/>
          <w:szCs w:val="18"/>
        </w:rPr>
        <w:t>Dierkhising</w:t>
      </w:r>
      <w:proofErr w:type="spellEnd"/>
      <w:r w:rsidRPr="00F777A3">
        <w:rPr>
          <w:sz w:val="18"/>
          <w:szCs w:val="18"/>
        </w:rPr>
        <w:t>, and Marsh (2010) propose that youth court professionals, especially judges, should also make it a priority to become trauma-informed and insist on thorough assessments (including trauma screening) in order to ensure that traumatized youth are referred to appropriate treatment programs.</w:t>
      </w:r>
    </w:p>
    <w:p w:rsidR="00FF1E7B" w:rsidRDefault="00FF1E7B">
      <w:pPr>
        <w:pStyle w:val="FootnoteText"/>
      </w:pPr>
    </w:p>
  </w:footnote>
  <w:footnote w:id="14">
    <w:p w:rsidR="00FF1E7B" w:rsidRPr="0013650A" w:rsidRDefault="00FF1E7B">
      <w:pPr>
        <w:pStyle w:val="FootnoteText"/>
        <w:rPr>
          <w:sz w:val="18"/>
          <w:szCs w:val="18"/>
        </w:rPr>
      </w:pPr>
      <w:r>
        <w:rPr>
          <w:rStyle w:val="FootnoteReference"/>
        </w:rPr>
        <w:footnoteRef/>
      </w:r>
      <w:r>
        <w:t xml:space="preserve"> </w:t>
      </w:r>
      <w:proofErr w:type="gramStart"/>
      <w:r w:rsidRPr="0013650A">
        <w:rPr>
          <w:sz w:val="18"/>
          <w:szCs w:val="18"/>
        </w:rPr>
        <w:t>Discussed in more detail in the Gender-Responsive Programs section of this literature review.</w:t>
      </w:r>
      <w:proofErr w:type="gramEnd"/>
    </w:p>
  </w:footnote>
  <w:footnote w:id="15">
    <w:p w:rsidR="00FF1E7B" w:rsidRDefault="00FF1E7B">
      <w:pPr>
        <w:pStyle w:val="FootnoteText"/>
      </w:pPr>
      <w:r>
        <w:rPr>
          <w:rStyle w:val="FootnoteReference"/>
        </w:rPr>
        <w:footnoteRef/>
      </w:r>
      <w:r w:rsidRPr="00F54BC4">
        <w:rPr>
          <w:rFonts w:cs="Times New Roman"/>
          <w:sz w:val="18"/>
          <w:szCs w:val="18"/>
        </w:rPr>
        <w:t xml:space="preserve">Harris and </w:t>
      </w:r>
      <w:proofErr w:type="spellStart"/>
      <w:r w:rsidRPr="00F54BC4">
        <w:rPr>
          <w:rFonts w:cs="Times New Roman"/>
          <w:sz w:val="18"/>
          <w:szCs w:val="18"/>
        </w:rPr>
        <w:t>Fitton</w:t>
      </w:r>
      <w:proofErr w:type="spellEnd"/>
      <w:r w:rsidRPr="00F54BC4">
        <w:rPr>
          <w:rFonts w:cs="Times New Roman"/>
          <w:sz w:val="18"/>
          <w:szCs w:val="18"/>
        </w:rPr>
        <w:t xml:space="preserve"> define </w:t>
      </w:r>
      <w:r>
        <w:rPr>
          <w:rFonts w:cs="Times New Roman"/>
          <w:sz w:val="18"/>
          <w:szCs w:val="18"/>
        </w:rPr>
        <w:t>the term “</w:t>
      </w:r>
      <w:r w:rsidRPr="00F54BC4">
        <w:rPr>
          <w:rFonts w:cs="Times New Roman"/>
          <w:sz w:val="18"/>
          <w:szCs w:val="18"/>
        </w:rPr>
        <w:t>trauma-informed</w:t>
      </w:r>
      <w:r>
        <w:rPr>
          <w:rFonts w:cs="Times New Roman"/>
          <w:sz w:val="18"/>
          <w:szCs w:val="18"/>
        </w:rPr>
        <w:t>”</w:t>
      </w:r>
      <w:r w:rsidRPr="00F54BC4">
        <w:rPr>
          <w:rFonts w:cs="Times New Roman"/>
          <w:sz w:val="18"/>
          <w:szCs w:val="18"/>
        </w:rPr>
        <w:t xml:space="preserve"> as acknowledging the traumatic histories of the youth in every element of [a] program” (2010, p. 114).</w:t>
      </w:r>
    </w:p>
  </w:footnote>
  <w:footnote w:id="16">
    <w:p w:rsidR="00FF1E7B" w:rsidRDefault="00FF1E7B">
      <w:pPr>
        <w:pStyle w:val="FootnoteText"/>
      </w:pPr>
      <w:r>
        <w:rPr>
          <w:rStyle w:val="FootnoteReference"/>
        </w:rPr>
        <w:footnoteRef/>
      </w:r>
      <w:r>
        <w:t xml:space="preserve"> </w:t>
      </w:r>
      <w:r w:rsidRPr="00F94A64">
        <w:rPr>
          <w:rFonts w:cs="Times New Roman"/>
          <w:sz w:val="18"/>
          <w:szCs w:val="18"/>
        </w:rPr>
        <w:t>Le (2012) is focused primarily on programs that would be suitable for violent female youth in secure detention; however, it is likely that many of the community-based programs would be appropriate and applicable for community-based sentences.</w:t>
      </w:r>
    </w:p>
  </w:footnote>
  <w:footnote w:id="17">
    <w:p w:rsidR="00FF1E7B" w:rsidRPr="00661327" w:rsidRDefault="00FF1E7B">
      <w:pPr>
        <w:pStyle w:val="FootnoteText"/>
        <w:rPr>
          <w:sz w:val="18"/>
          <w:szCs w:val="18"/>
        </w:rPr>
      </w:pPr>
      <w:r>
        <w:rPr>
          <w:rStyle w:val="FootnoteReference"/>
        </w:rPr>
        <w:footnoteRef/>
      </w:r>
      <w:r>
        <w:t xml:space="preserve"> </w:t>
      </w:r>
      <w:r w:rsidRPr="00661327">
        <w:rPr>
          <w:sz w:val="18"/>
          <w:szCs w:val="18"/>
        </w:rPr>
        <w:t xml:space="preserve">However, according to Harris and </w:t>
      </w:r>
      <w:proofErr w:type="spellStart"/>
      <w:r w:rsidRPr="00661327">
        <w:rPr>
          <w:sz w:val="18"/>
          <w:szCs w:val="18"/>
        </w:rPr>
        <w:t>Fitton</w:t>
      </w:r>
      <w:proofErr w:type="spellEnd"/>
      <w:r>
        <w:rPr>
          <w:sz w:val="18"/>
          <w:szCs w:val="18"/>
        </w:rPr>
        <w:t>,</w:t>
      </w:r>
      <w:r w:rsidRPr="00661327">
        <w:rPr>
          <w:sz w:val="18"/>
          <w:szCs w:val="18"/>
        </w:rPr>
        <w:t xml:space="preserve"> given that the participants’ sentence lengths vary, each class, practice session, and creative arts workshop is designed as an independent unit in order to allow participants to enter or exit the program at anytime and still benefit from the program, even if only for a day or a week (2010, p. 112).</w:t>
      </w:r>
    </w:p>
  </w:footnote>
  <w:footnote w:id="18">
    <w:p w:rsidR="00FF1E7B" w:rsidRPr="00661327" w:rsidRDefault="00FF1E7B">
      <w:pPr>
        <w:pStyle w:val="FootnoteText"/>
        <w:rPr>
          <w:sz w:val="18"/>
          <w:szCs w:val="18"/>
        </w:rPr>
      </w:pPr>
      <w:r w:rsidRPr="00661327">
        <w:rPr>
          <w:rStyle w:val="FootnoteReference"/>
          <w:sz w:val="18"/>
          <w:szCs w:val="18"/>
        </w:rPr>
        <w:footnoteRef/>
      </w:r>
      <w:r w:rsidRPr="00661327">
        <w:rPr>
          <w:sz w:val="18"/>
          <w:szCs w:val="18"/>
        </w:rPr>
        <w:t xml:space="preserve"> For example, Smith, Cox et al note that while Aboriginal programs were available at all three youth custody centres in BC, youth who had been in custody in northern BC and the lower mainland, indicated the programs were better at the centre in Prince George (2013).</w:t>
      </w:r>
    </w:p>
  </w:footnote>
  <w:footnote w:id="19">
    <w:p w:rsidR="00FF1E7B" w:rsidRPr="00661327" w:rsidRDefault="00FF1E7B">
      <w:pPr>
        <w:pStyle w:val="FootnoteText"/>
        <w:rPr>
          <w:sz w:val="18"/>
          <w:szCs w:val="18"/>
        </w:rPr>
      </w:pPr>
      <w:r w:rsidRPr="00661327">
        <w:rPr>
          <w:rStyle w:val="FootnoteReference"/>
          <w:sz w:val="18"/>
          <w:szCs w:val="18"/>
        </w:rPr>
        <w:footnoteRef/>
      </w:r>
      <w:r w:rsidRPr="00661327">
        <w:rPr>
          <w:sz w:val="18"/>
          <w:szCs w:val="18"/>
        </w:rPr>
        <w:t xml:space="preserve"> As noted earlier in this literature review, Smith, Cox, et al (2013) indicated that 36% of Aboriginal youth in custody reported having a diagnosis of FASD.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E7B" w:rsidRDefault="00FF1E7B" w:rsidP="00C5773B">
    <w:pPr>
      <w:pStyle w:val="Header"/>
      <w:jc w:val="center"/>
    </w:pPr>
    <w:r>
      <w:t>Trauma-informed practices as adjunctive drug treatment interventions for justice-involved youth</w:t>
    </w:r>
  </w:p>
  <w:p w:rsidR="00FF1E7B" w:rsidRDefault="00FF1E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76963"/>
    <w:multiLevelType w:val="hybridMultilevel"/>
    <w:tmpl w:val="F9B2C67E"/>
    <w:lvl w:ilvl="0" w:tplc="698EE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570EA"/>
    <w:multiLevelType w:val="hybridMultilevel"/>
    <w:tmpl w:val="9436641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6ED41338"/>
    <w:multiLevelType w:val="hybridMultilevel"/>
    <w:tmpl w:val="7520C5B6"/>
    <w:lvl w:ilvl="0" w:tplc="8B3636B0">
      <w:start w:val="1"/>
      <w:numFmt w:val="upperRoman"/>
      <w:lvlText w:val="%1."/>
      <w:lvlJc w:val="left"/>
      <w:pPr>
        <w:ind w:left="1288" w:hanging="720"/>
      </w:pPr>
      <w:rPr>
        <w:rFonts w:hint="default"/>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3359F"/>
    <w:rsid w:val="00002419"/>
    <w:rsid w:val="00002C2F"/>
    <w:rsid w:val="00003B05"/>
    <w:rsid w:val="00005FC9"/>
    <w:rsid w:val="00007879"/>
    <w:rsid w:val="0001001D"/>
    <w:rsid w:val="000102E5"/>
    <w:rsid w:val="00011934"/>
    <w:rsid w:val="00024A79"/>
    <w:rsid w:val="00026669"/>
    <w:rsid w:val="0002689A"/>
    <w:rsid w:val="00026FE9"/>
    <w:rsid w:val="00030DCC"/>
    <w:rsid w:val="0003203F"/>
    <w:rsid w:val="000321AB"/>
    <w:rsid w:val="00032606"/>
    <w:rsid w:val="00036086"/>
    <w:rsid w:val="00037D9F"/>
    <w:rsid w:val="000411F5"/>
    <w:rsid w:val="0004343E"/>
    <w:rsid w:val="00044FDA"/>
    <w:rsid w:val="000453C4"/>
    <w:rsid w:val="000460A5"/>
    <w:rsid w:val="00047EAB"/>
    <w:rsid w:val="00050641"/>
    <w:rsid w:val="00050876"/>
    <w:rsid w:val="0005466D"/>
    <w:rsid w:val="000551B4"/>
    <w:rsid w:val="000556BD"/>
    <w:rsid w:val="00060433"/>
    <w:rsid w:val="00061C3B"/>
    <w:rsid w:val="00063FF4"/>
    <w:rsid w:val="000641A2"/>
    <w:rsid w:val="0006587E"/>
    <w:rsid w:val="00066804"/>
    <w:rsid w:val="00066F44"/>
    <w:rsid w:val="00070B3B"/>
    <w:rsid w:val="00071E30"/>
    <w:rsid w:val="00077170"/>
    <w:rsid w:val="00077861"/>
    <w:rsid w:val="00077A7C"/>
    <w:rsid w:val="000804C3"/>
    <w:rsid w:val="00081C47"/>
    <w:rsid w:val="0008347E"/>
    <w:rsid w:val="00084C65"/>
    <w:rsid w:val="0008596E"/>
    <w:rsid w:val="00091AA8"/>
    <w:rsid w:val="00095193"/>
    <w:rsid w:val="000A071B"/>
    <w:rsid w:val="000A0C60"/>
    <w:rsid w:val="000A1D08"/>
    <w:rsid w:val="000A7F5E"/>
    <w:rsid w:val="000B019E"/>
    <w:rsid w:val="000B22E4"/>
    <w:rsid w:val="000B3F30"/>
    <w:rsid w:val="000B65A7"/>
    <w:rsid w:val="000B73A1"/>
    <w:rsid w:val="000B7FB0"/>
    <w:rsid w:val="000C14ED"/>
    <w:rsid w:val="000C38F4"/>
    <w:rsid w:val="000C3B0A"/>
    <w:rsid w:val="000C4A77"/>
    <w:rsid w:val="000D0129"/>
    <w:rsid w:val="000D0F7C"/>
    <w:rsid w:val="000D46A3"/>
    <w:rsid w:val="000D6B67"/>
    <w:rsid w:val="000D6DEA"/>
    <w:rsid w:val="000E1654"/>
    <w:rsid w:val="000E70F0"/>
    <w:rsid w:val="000E7152"/>
    <w:rsid w:val="000E7187"/>
    <w:rsid w:val="000F0435"/>
    <w:rsid w:val="000F0D80"/>
    <w:rsid w:val="000F1099"/>
    <w:rsid w:val="000F3CF5"/>
    <w:rsid w:val="000F54F1"/>
    <w:rsid w:val="000F62A6"/>
    <w:rsid w:val="00101176"/>
    <w:rsid w:val="00101D93"/>
    <w:rsid w:val="00104755"/>
    <w:rsid w:val="00106B7F"/>
    <w:rsid w:val="001072F6"/>
    <w:rsid w:val="00112C77"/>
    <w:rsid w:val="001131AF"/>
    <w:rsid w:val="001166CF"/>
    <w:rsid w:val="00120D67"/>
    <w:rsid w:val="00121897"/>
    <w:rsid w:val="00121FFB"/>
    <w:rsid w:val="001237AE"/>
    <w:rsid w:val="00124778"/>
    <w:rsid w:val="00125989"/>
    <w:rsid w:val="00130F27"/>
    <w:rsid w:val="0013650A"/>
    <w:rsid w:val="0013663E"/>
    <w:rsid w:val="00136CE0"/>
    <w:rsid w:val="001379BE"/>
    <w:rsid w:val="00140C22"/>
    <w:rsid w:val="00153EC9"/>
    <w:rsid w:val="0015454C"/>
    <w:rsid w:val="00155557"/>
    <w:rsid w:val="00160370"/>
    <w:rsid w:val="00164A2F"/>
    <w:rsid w:val="00164E18"/>
    <w:rsid w:val="00174BAB"/>
    <w:rsid w:val="00174ED6"/>
    <w:rsid w:val="001779C6"/>
    <w:rsid w:val="00180CA8"/>
    <w:rsid w:val="00181390"/>
    <w:rsid w:val="00182CAF"/>
    <w:rsid w:val="00185979"/>
    <w:rsid w:val="00191840"/>
    <w:rsid w:val="00192B90"/>
    <w:rsid w:val="00194BCE"/>
    <w:rsid w:val="001A4D9F"/>
    <w:rsid w:val="001B74CA"/>
    <w:rsid w:val="001B7D25"/>
    <w:rsid w:val="001C1951"/>
    <w:rsid w:val="001C1FEB"/>
    <w:rsid w:val="001C490D"/>
    <w:rsid w:val="001D0EFE"/>
    <w:rsid w:val="001D1EDC"/>
    <w:rsid w:val="001D2F5C"/>
    <w:rsid w:val="001D390E"/>
    <w:rsid w:val="001D618E"/>
    <w:rsid w:val="001D7407"/>
    <w:rsid w:val="001E63B2"/>
    <w:rsid w:val="001F073F"/>
    <w:rsid w:val="001F2DE0"/>
    <w:rsid w:val="002007F5"/>
    <w:rsid w:val="00201689"/>
    <w:rsid w:val="0020596E"/>
    <w:rsid w:val="00205D70"/>
    <w:rsid w:val="00211E94"/>
    <w:rsid w:val="002137B3"/>
    <w:rsid w:val="00214F57"/>
    <w:rsid w:val="00215A0F"/>
    <w:rsid w:val="00216FFD"/>
    <w:rsid w:val="00217C47"/>
    <w:rsid w:val="00217EBA"/>
    <w:rsid w:val="00220348"/>
    <w:rsid w:val="00220C8F"/>
    <w:rsid w:val="002216DD"/>
    <w:rsid w:val="00221B53"/>
    <w:rsid w:val="00235A3F"/>
    <w:rsid w:val="002414F1"/>
    <w:rsid w:val="00241DF7"/>
    <w:rsid w:val="00250907"/>
    <w:rsid w:val="0025247C"/>
    <w:rsid w:val="002561C8"/>
    <w:rsid w:val="00263118"/>
    <w:rsid w:val="0026568A"/>
    <w:rsid w:val="00265CD2"/>
    <w:rsid w:val="00265FEE"/>
    <w:rsid w:val="0027235E"/>
    <w:rsid w:val="00274AA8"/>
    <w:rsid w:val="002753A2"/>
    <w:rsid w:val="002842D6"/>
    <w:rsid w:val="00284345"/>
    <w:rsid w:val="002850CA"/>
    <w:rsid w:val="0028560C"/>
    <w:rsid w:val="0028700F"/>
    <w:rsid w:val="00290674"/>
    <w:rsid w:val="00291CCA"/>
    <w:rsid w:val="00295F74"/>
    <w:rsid w:val="00296032"/>
    <w:rsid w:val="002964E8"/>
    <w:rsid w:val="0029669E"/>
    <w:rsid w:val="00296B13"/>
    <w:rsid w:val="00296E26"/>
    <w:rsid w:val="002A1FE7"/>
    <w:rsid w:val="002A3B3F"/>
    <w:rsid w:val="002A45C6"/>
    <w:rsid w:val="002A48AA"/>
    <w:rsid w:val="002A4C37"/>
    <w:rsid w:val="002A7DFE"/>
    <w:rsid w:val="002B1801"/>
    <w:rsid w:val="002B2DBF"/>
    <w:rsid w:val="002B35CA"/>
    <w:rsid w:val="002C014D"/>
    <w:rsid w:val="002C537B"/>
    <w:rsid w:val="002D15B4"/>
    <w:rsid w:val="002D16F9"/>
    <w:rsid w:val="002D3DA4"/>
    <w:rsid w:val="002D4DE8"/>
    <w:rsid w:val="002D4F01"/>
    <w:rsid w:val="002D5553"/>
    <w:rsid w:val="002E1310"/>
    <w:rsid w:val="002E210F"/>
    <w:rsid w:val="002E44A7"/>
    <w:rsid w:val="002E7575"/>
    <w:rsid w:val="002F09A7"/>
    <w:rsid w:val="002F1CF8"/>
    <w:rsid w:val="002F3971"/>
    <w:rsid w:val="003002E8"/>
    <w:rsid w:val="00300A43"/>
    <w:rsid w:val="00304F3A"/>
    <w:rsid w:val="00307269"/>
    <w:rsid w:val="00307340"/>
    <w:rsid w:val="0030766A"/>
    <w:rsid w:val="0031456C"/>
    <w:rsid w:val="0031514E"/>
    <w:rsid w:val="00315C2B"/>
    <w:rsid w:val="00316901"/>
    <w:rsid w:val="003211CF"/>
    <w:rsid w:val="00322542"/>
    <w:rsid w:val="003225F3"/>
    <w:rsid w:val="00323313"/>
    <w:rsid w:val="00323627"/>
    <w:rsid w:val="00323E6B"/>
    <w:rsid w:val="00333557"/>
    <w:rsid w:val="0033359F"/>
    <w:rsid w:val="00334A57"/>
    <w:rsid w:val="0033633D"/>
    <w:rsid w:val="00340D5D"/>
    <w:rsid w:val="0034170E"/>
    <w:rsid w:val="003419D5"/>
    <w:rsid w:val="0034460D"/>
    <w:rsid w:val="00344A51"/>
    <w:rsid w:val="0034559D"/>
    <w:rsid w:val="003522CD"/>
    <w:rsid w:val="00352556"/>
    <w:rsid w:val="00355934"/>
    <w:rsid w:val="003637B2"/>
    <w:rsid w:val="0036380B"/>
    <w:rsid w:val="0036422C"/>
    <w:rsid w:val="00364B48"/>
    <w:rsid w:val="00367C90"/>
    <w:rsid w:val="00370726"/>
    <w:rsid w:val="00373929"/>
    <w:rsid w:val="003809C0"/>
    <w:rsid w:val="00384948"/>
    <w:rsid w:val="00384C71"/>
    <w:rsid w:val="00386FB5"/>
    <w:rsid w:val="003879E6"/>
    <w:rsid w:val="00390620"/>
    <w:rsid w:val="00396DA4"/>
    <w:rsid w:val="00396FEC"/>
    <w:rsid w:val="003A2E5D"/>
    <w:rsid w:val="003A3B39"/>
    <w:rsid w:val="003A3E9B"/>
    <w:rsid w:val="003A486F"/>
    <w:rsid w:val="003A658F"/>
    <w:rsid w:val="003B15BC"/>
    <w:rsid w:val="003B5E0E"/>
    <w:rsid w:val="003C13A9"/>
    <w:rsid w:val="003C78D8"/>
    <w:rsid w:val="003C7D69"/>
    <w:rsid w:val="003E03E0"/>
    <w:rsid w:val="003E0DC2"/>
    <w:rsid w:val="003E35EC"/>
    <w:rsid w:val="003E4837"/>
    <w:rsid w:val="003F0906"/>
    <w:rsid w:val="003F1070"/>
    <w:rsid w:val="003F10C8"/>
    <w:rsid w:val="003F23F9"/>
    <w:rsid w:val="003F5238"/>
    <w:rsid w:val="003F7798"/>
    <w:rsid w:val="00403983"/>
    <w:rsid w:val="004047D5"/>
    <w:rsid w:val="00405CBD"/>
    <w:rsid w:val="00410368"/>
    <w:rsid w:val="0041458A"/>
    <w:rsid w:val="004160F0"/>
    <w:rsid w:val="004200A9"/>
    <w:rsid w:val="00422536"/>
    <w:rsid w:val="00423E05"/>
    <w:rsid w:val="00425BFB"/>
    <w:rsid w:val="00425D3E"/>
    <w:rsid w:val="00426E6E"/>
    <w:rsid w:val="004333AD"/>
    <w:rsid w:val="00433C2E"/>
    <w:rsid w:val="004351AB"/>
    <w:rsid w:val="004354A3"/>
    <w:rsid w:val="00437B81"/>
    <w:rsid w:val="0044048B"/>
    <w:rsid w:val="00440C26"/>
    <w:rsid w:val="00444944"/>
    <w:rsid w:val="00444F72"/>
    <w:rsid w:val="00445C6F"/>
    <w:rsid w:val="00452C80"/>
    <w:rsid w:val="00464590"/>
    <w:rsid w:val="00467504"/>
    <w:rsid w:val="004757B6"/>
    <w:rsid w:val="004800CA"/>
    <w:rsid w:val="0048187B"/>
    <w:rsid w:val="00482AEF"/>
    <w:rsid w:val="00482BA0"/>
    <w:rsid w:val="004833C9"/>
    <w:rsid w:val="00484599"/>
    <w:rsid w:val="00485783"/>
    <w:rsid w:val="00486311"/>
    <w:rsid w:val="004906F1"/>
    <w:rsid w:val="00493FAE"/>
    <w:rsid w:val="00495960"/>
    <w:rsid w:val="004A0662"/>
    <w:rsid w:val="004A159F"/>
    <w:rsid w:val="004A2EC6"/>
    <w:rsid w:val="004A4554"/>
    <w:rsid w:val="004A4667"/>
    <w:rsid w:val="004A49EF"/>
    <w:rsid w:val="004A4FAF"/>
    <w:rsid w:val="004A54E4"/>
    <w:rsid w:val="004A5D74"/>
    <w:rsid w:val="004A6C81"/>
    <w:rsid w:val="004B0C60"/>
    <w:rsid w:val="004B17D1"/>
    <w:rsid w:val="004B24AD"/>
    <w:rsid w:val="004B3AA4"/>
    <w:rsid w:val="004B3AF6"/>
    <w:rsid w:val="004B3D83"/>
    <w:rsid w:val="004B5C8B"/>
    <w:rsid w:val="004B6543"/>
    <w:rsid w:val="004B7D21"/>
    <w:rsid w:val="004B7DD2"/>
    <w:rsid w:val="004B7DD9"/>
    <w:rsid w:val="004C5F82"/>
    <w:rsid w:val="004C7E38"/>
    <w:rsid w:val="004D1895"/>
    <w:rsid w:val="004D52C5"/>
    <w:rsid w:val="004D6CDC"/>
    <w:rsid w:val="004D7A7B"/>
    <w:rsid w:val="004E3135"/>
    <w:rsid w:val="004E697F"/>
    <w:rsid w:val="004F0241"/>
    <w:rsid w:val="004F07C1"/>
    <w:rsid w:val="004F759D"/>
    <w:rsid w:val="00500061"/>
    <w:rsid w:val="005022E7"/>
    <w:rsid w:val="00503C5F"/>
    <w:rsid w:val="00511277"/>
    <w:rsid w:val="00514957"/>
    <w:rsid w:val="00514CB9"/>
    <w:rsid w:val="00516641"/>
    <w:rsid w:val="00517113"/>
    <w:rsid w:val="00522DB4"/>
    <w:rsid w:val="005233D7"/>
    <w:rsid w:val="005308ED"/>
    <w:rsid w:val="00532EEB"/>
    <w:rsid w:val="00533D64"/>
    <w:rsid w:val="00534A63"/>
    <w:rsid w:val="00535CBD"/>
    <w:rsid w:val="0053692D"/>
    <w:rsid w:val="00540553"/>
    <w:rsid w:val="005430D2"/>
    <w:rsid w:val="00545113"/>
    <w:rsid w:val="00545BD5"/>
    <w:rsid w:val="00547543"/>
    <w:rsid w:val="00547BB5"/>
    <w:rsid w:val="00547E38"/>
    <w:rsid w:val="00550708"/>
    <w:rsid w:val="00551289"/>
    <w:rsid w:val="00554205"/>
    <w:rsid w:val="00554A37"/>
    <w:rsid w:val="005563C5"/>
    <w:rsid w:val="005577E2"/>
    <w:rsid w:val="005611C3"/>
    <w:rsid w:val="00561578"/>
    <w:rsid w:val="005623E6"/>
    <w:rsid w:val="00570007"/>
    <w:rsid w:val="00570D4C"/>
    <w:rsid w:val="005748C8"/>
    <w:rsid w:val="00577667"/>
    <w:rsid w:val="00583CA5"/>
    <w:rsid w:val="00583DC4"/>
    <w:rsid w:val="00584C98"/>
    <w:rsid w:val="00586EC0"/>
    <w:rsid w:val="005870BD"/>
    <w:rsid w:val="005914E9"/>
    <w:rsid w:val="00595B47"/>
    <w:rsid w:val="005A4F81"/>
    <w:rsid w:val="005A7C61"/>
    <w:rsid w:val="005B3F2C"/>
    <w:rsid w:val="005D1BA6"/>
    <w:rsid w:val="005D2014"/>
    <w:rsid w:val="005D7C27"/>
    <w:rsid w:val="005E3B1E"/>
    <w:rsid w:val="005E68B2"/>
    <w:rsid w:val="005E7B02"/>
    <w:rsid w:val="005F0230"/>
    <w:rsid w:val="005F3CDB"/>
    <w:rsid w:val="005F46A1"/>
    <w:rsid w:val="005F4796"/>
    <w:rsid w:val="005F6761"/>
    <w:rsid w:val="00600A3E"/>
    <w:rsid w:val="00602674"/>
    <w:rsid w:val="00604A4B"/>
    <w:rsid w:val="0060642C"/>
    <w:rsid w:val="00615D39"/>
    <w:rsid w:val="006212C9"/>
    <w:rsid w:val="00624063"/>
    <w:rsid w:val="0062592D"/>
    <w:rsid w:val="00626375"/>
    <w:rsid w:val="00626610"/>
    <w:rsid w:val="00633ACF"/>
    <w:rsid w:val="006374F9"/>
    <w:rsid w:val="00637E79"/>
    <w:rsid w:val="00642F98"/>
    <w:rsid w:val="0064329F"/>
    <w:rsid w:val="006500FB"/>
    <w:rsid w:val="00651C9A"/>
    <w:rsid w:val="006525D7"/>
    <w:rsid w:val="0065495D"/>
    <w:rsid w:val="00655BFD"/>
    <w:rsid w:val="006569D6"/>
    <w:rsid w:val="00660640"/>
    <w:rsid w:val="00660B31"/>
    <w:rsid w:val="00661327"/>
    <w:rsid w:val="00667274"/>
    <w:rsid w:val="006701EF"/>
    <w:rsid w:val="00671C0F"/>
    <w:rsid w:val="00671FA4"/>
    <w:rsid w:val="00676F38"/>
    <w:rsid w:val="00680690"/>
    <w:rsid w:val="00680D81"/>
    <w:rsid w:val="00684F98"/>
    <w:rsid w:val="00687A1B"/>
    <w:rsid w:val="00691D02"/>
    <w:rsid w:val="006932B6"/>
    <w:rsid w:val="0069537A"/>
    <w:rsid w:val="006A528A"/>
    <w:rsid w:val="006A7655"/>
    <w:rsid w:val="006A7BD4"/>
    <w:rsid w:val="006A7E2D"/>
    <w:rsid w:val="006B12FB"/>
    <w:rsid w:val="006B1389"/>
    <w:rsid w:val="006B248D"/>
    <w:rsid w:val="006B7EDA"/>
    <w:rsid w:val="006C31A6"/>
    <w:rsid w:val="006C347D"/>
    <w:rsid w:val="006C58D6"/>
    <w:rsid w:val="006C7843"/>
    <w:rsid w:val="006D58DA"/>
    <w:rsid w:val="006E4DE2"/>
    <w:rsid w:val="006E5796"/>
    <w:rsid w:val="006F48BD"/>
    <w:rsid w:val="006F7997"/>
    <w:rsid w:val="007008C7"/>
    <w:rsid w:val="00703815"/>
    <w:rsid w:val="00704796"/>
    <w:rsid w:val="007078B7"/>
    <w:rsid w:val="00710DCF"/>
    <w:rsid w:val="00714E06"/>
    <w:rsid w:val="007167A0"/>
    <w:rsid w:val="007213B2"/>
    <w:rsid w:val="00725ED2"/>
    <w:rsid w:val="00727100"/>
    <w:rsid w:val="0073025B"/>
    <w:rsid w:val="00730DE4"/>
    <w:rsid w:val="00735318"/>
    <w:rsid w:val="00740012"/>
    <w:rsid w:val="00740375"/>
    <w:rsid w:val="00745D99"/>
    <w:rsid w:val="00746327"/>
    <w:rsid w:val="007472D3"/>
    <w:rsid w:val="007518CC"/>
    <w:rsid w:val="0075404A"/>
    <w:rsid w:val="0075659D"/>
    <w:rsid w:val="00756F41"/>
    <w:rsid w:val="00761493"/>
    <w:rsid w:val="007651C0"/>
    <w:rsid w:val="00766CEE"/>
    <w:rsid w:val="00772302"/>
    <w:rsid w:val="007729CF"/>
    <w:rsid w:val="00774FA3"/>
    <w:rsid w:val="00775A11"/>
    <w:rsid w:val="00781CFC"/>
    <w:rsid w:val="00782771"/>
    <w:rsid w:val="00782DE6"/>
    <w:rsid w:val="00782EC7"/>
    <w:rsid w:val="0078329B"/>
    <w:rsid w:val="00785F8A"/>
    <w:rsid w:val="00787411"/>
    <w:rsid w:val="00793587"/>
    <w:rsid w:val="007975E0"/>
    <w:rsid w:val="007978A6"/>
    <w:rsid w:val="00797912"/>
    <w:rsid w:val="007A0558"/>
    <w:rsid w:val="007A0925"/>
    <w:rsid w:val="007A44D9"/>
    <w:rsid w:val="007A5335"/>
    <w:rsid w:val="007B1367"/>
    <w:rsid w:val="007B6EB0"/>
    <w:rsid w:val="007C1DCB"/>
    <w:rsid w:val="007C5436"/>
    <w:rsid w:val="007C6B28"/>
    <w:rsid w:val="007C73B9"/>
    <w:rsid w:val="007C7475"/>
    <w:rsid w:val="007D23A3"/>
    <w:rsid w:val="007D7083"/>
    <w:rsid w:val="007D7967"/>
    <w:rsid w:val="007E352F"/>
    <w:rsid w:val="007F1804"/>
    <w:rsid w:val="007F53F4"/>
    <w:rsid w:val="00814994"/>
    <w:rsid w:val="00814F4C"/>
    <w:rsid w:val="0081699B"/>
    <w:rsid w:val="008175E5"/>
    <w:rsid w:val="00820213"/>
    <w:rsid w:val="00820F80"/>
    <w:rsid w:val="00821BBB"/>
    <w:rsid w:val="00821C8C"/>
    <w:rsid w:val="00825471"/>
    <w:rsid w:val="00826848"/>
    <w:rsid w:val="00832517"/>
    <w:rsid w:val="00832CA0"/>
    <w:rsid w:val="00840160"/>
    <w:rsid w:val="00841CAC"/>
    <w:rsid w:val="008448A3"/>
    <w:rsid w:val="00856001"/>
    <w:rsid w:val="0085710B"/>
    <w:rsid w:val="008571FA"/>
    <w:rsid w:val="00860F2E"/>
    <w:rsid w:val="0086128A"/>
    <w:rsid w:val="00861895"/>
    <w:rsid w:val="00863CF6"/>
    <w:rsid w:val="00865983"/>
    <w:rsid w:val="00867244"/>
    <w:rsid w:val="00867EC3"/>
    <w:rsid w:val="00870AB0"/>
    <w:rsid w:val="00870E35"/>
    <w:rsid w:val="00875B15"/>
    <w:rsid w:val="008766D8"/>
    <w:rsid w:val="0088219A"/>
    <w:rsid w:val="00891586"/>
    <w:rsid w:val="008A2F46"/>
    <w:rsid w:val="008A4AB1"/>
    <w:rsid w:val="008A4C99"/>
    <w:rsid w:val="008A5786"/>
    <w:rsid w:val="008B0DA7"/>
    <w:rsid w:val="008B1482"/>
    <w:rsid w:val="008C1127"/>
    <w:rsid w:val="008C76B3"/>
    <w:rsid w:val="008D1787"/>
    <w:rsid w:val="008D1A3E"/>
    <w:rsid w:val="008D5C42"/>
    <w:rsid w:val="008E02BA"/>
    <w:rsid w:val="008E0B3D"/>
    <w:rsid w:val="008E12E8"/>
    <w:rsid w:val="008E1567"/>
    <w:rsid w:val="008E1B92"/>
    <w:rsid w:val="008E3552"/>
    <w:rsid w:val="008F0A34"/>
    <w:rsid w:val="008F1061"/>
    <w:rsid w:val="009033C6"/>
    <w:rsid w:val="00905A01"/>
    <w:rsid w:val="00907A59"/>
    <w:rsid w:val="00912636"/>
    <w:rsid w:val="00912C25"/>
    <w:rsid w:val="009171A0"/>
    <w:rsid w:val="00920164"/>
    <w:rsid w:val="0092039B"/>
    <w:rsid w:val="00920F69"/>
    <w:rsid w:val="009225EC"/>
    <w:rsid w:val="00923248"/>
    <w:rsid w:val="00930C99"/>
    <w:rsid w:val="00931773"/>
    <w:rsid w:val="009338E9"/>
    <w:rsid w:val="00934383"/>
    <w:rsid w:val="00940C7D"/>
    <w:rsid w:val="00944F4B"/>
    <w:rsid w:val="0095035A"/>
    <w:rsid w:val="00952AEA"/>
    <w:rsid w:val="00957152"/>
    <w:rsid w:val="00957D5D"/>
    <w:rsid w:val="00957F66"/>
    <w:rsid w:val="009602B5"/>
    <w:rsid w:val="009605E9"/>
    <w:rsid w:val="00960EB6"/>
    <w:rsid w:val="0096291F"/>
    <w:rsid w:val="00963037"/>
    <w:rsid w:val="00964296"/>
    <w:rsid w:val="00965AF2"/>
    <w:rsid w:val="009709F8"/>
    <w:rsid w:val="00971B99"/>
    <w:rsid w:val="00974AFA"/>
    <w:rsid w:val="00982861"/>
    <w:rsid w:val="00983C46"/>
    <w:rsid w:val="009849A6"/>
    <w:rsid w:val="00990283"/>
    <w:rsid w:val="00991C0B"/>
    <w:rsid w:val="009933F2"/>
    <w:rsid w:val="0099491A"/>
    <w:rsid w:val="009A608B"/>
    <w:rsid w:val="009B06ED"/>
    <w:rsid w:val="009B0B58"/>
    <w:rsid w:val="009B3A63"/>
    <w:rsid w:val="009B4096"/>
    <w:rsid w:val="009B6B96"/>
    <w:rsid w:val="009C0A99"/>
    <w:rsid w:val="009C2E42"/>
    <w:rsid w:val="009C377E"/>
    <w:rsid w:val="009C5F11"/>
    <w:rsid w:val="009D06D4"/>
    <w:rsid w:val="009D2E42"/>
    <w:rsid w:val="009D445C"/>
    <w:rsid w:val="009D57B1"/>
    <w:rsid w:val="009D625A"/>
    <w:rsid w:val="009D6A57"/>
    <w:rsid w:val="009D6F4A"/>
    <w:rsid w:val="009E2266"/>
    <w:rsid w:val="009E2658"/>
    <w:rsid w:val="009F2D65"/>
    <w:rsid w:val="009F72EA"/>
    <w:rsid w:val="009F7B4D"/>
    <w:rsid w:val="00A10825"/>
    <w:rsid w:val="00A10C06"/>
    <w:rsid w:val="00A11238"/>
    <w:rsid w:val="00A11F61"/>
    <w:rsid w:val="00A127E7"/>
    <w:rsid w:val="00A161A4"/>
    <w:rsid w:val="00A2110C"/>
    <w:rsid w:val="00A218C1"/>
    <w:rsid w:val="00A2770B"/>
    <w:rsid w:val="00A30C99"/>
    <w:rsid w:val="00A325CB"/>
    <w:rsid w:val="00A36A3B"/>
    <w:rsid w:val="00A4002A"/>
    <w:rsid w:val="00A40DD5"/>
    <w:rsid w:val="00A51C50"/>
    <w:rsid w:val="00A52566"/>
    <w:rsid w:val="00A532D7"/>
    <w:rsid w:val="00A53FA7"/>
    <w:rsid w:val="00A542DB"/>
    <w:rsid w:val="00A56E23"/>
    <w:rsid w:val="00A57CDA"/>
    <w:rsid w:val="00A604D9"/>
    <w:rsid w:val="00A62BB5"/>
    <w:rsid w:val="00A66903"/>
    <w:rsid w:val="00A72E31"/>
    <w:rsid w:val="00A80404"/>
    <w:rsid w:val="00A80534"/>
    <w:rsid w:val="00A8062B"/>
    <w:rsid w:val="00A8147D"/>
    <w:rsid w:val="00A82179"/>
    <w:rsid w:val="00A83126"/>
    <w:rsid w:val="00A841C5"/>
    <w:rsid w:val="00A842E5"/>
    <w:rsid w:val="00A844A8"/>
    <w:rsid w:val="00A84957"/>
    <w:rsid w:val="00A85282"/>
    <w:rsid w:val="00A909A3"/>
    <w:rsid w:val="00A91423"/>
    <w:rsid w:val="00A9256D"/>
    <w:rsid w:val="00A92B45"/>
    <w:rsid w:val="00A92C66"/>
    <w:rsid w:val="00A97FC8"/>
    <w:rsid w:val="00AA0457"/>
    <w:rsid w:val="00AA1651"/>
    <w:rsid w:val="00AA3650"/>
    <w:rsid w:val="00AA6EEC"/>
    <w:rsid w:val="00AA7BFF"/>
    <w:rsid w:val="00AA7FAA"/>
    <w:rsid w:val="00AB0866"/>
    <w:rsid w:val="00AB1081"/>
    <w:rsid w:val="00AB1500"/>
    <w:rsid w:val="00AB2171"/>
    <w:rsid w:val="00AB2E6B"/>
    <w:rsid w:val="00AC1377"/>
    <w:rsid w:val="00AC769E"/>
    <w:rsid w:val="00AD0636"/>
    <w:rsid w:val="00AD18A4"/>
    <w:rsid w:val="00AD1B19"/>
    <w:rsid w:val="00AD28DC"/>
    <w:rsid w:val="00AD76EB"/>
    <w:rsid w:val="00AE194A"/>
    <w:rsid w:val="00AE5F8D"/>
    <w:rsid w:val="00AE686E"/>
    <w:rsid w:val="00AE7974"/>
    <w:rsid w:val="00AE797D"/>
    <w:rsid w:val="00AF3A41"/>
    <w:rsid w:val="00B05450"/>
    <w:rsid w:val="00B077BE"/>
    <w:rsid w:val="00B100A9"/>
    <w:rsid w:val="00B10CEE"/>
    <w:rsid w:val="00B156F9"/>
    <w:rsid w:val="00B16C04"/>
    <w:rsid w:val="00B16E63"/>
    <w:rsid w:val="00B2118D"/>
    <w:rsid w:val="00B221D9"/>
    <w:rsid w:val="00B2332A"/>
    <w:rsid w:val="00B24D01"/>
    <w:rsid w:val="00B25449"/>
    <w:rsid w:val="00B25BC5"/>
    <w:rsid w:val="00B267DC"/>
    <w:rsid w:val="00B26B85"/>
    <w:rsid w:val="00B279BA"/>
    <w:rsid w:val="00B3217F"/>
    <w:rsid w:val="00B32359"/>
    <w:rsid w:val="00B340A2"/>
    <w:rsid w:val="00B34834"/>
    <w:rsid w:val="00B348E6"/>
    <w:rsid w:val="00B352C1"/>
    <w:rsid w:val="00B364F6"/>
    <w:rsid w:val="00B369BE"/>
    <w:rsid w:val="00B379F7"/>
    <w:rsid w:val="00B4033A"/>
    <w:rsid w:val="00B4127D"/>
    <w:rsid w:val="00B41CC3"/>
    <w:rsid w:val="00B42DFD"/>
    <w:rsid w:val="00B43B27"/>
    <w:rsid w:val="00B5160D"/>
    <w:rsid w:val="00B54AF5"/>
    <w:rsid w:val="00B55081"/>
    <w:rsid w:val="00B55143"/>
    <w:rsid w:val="00B56047"/>
    <w:rsid w:val="00B578B1"/>
    <w:rsid w:val="00B62609"/>
    <w:rsid w:val="00B63715"/>
    <w:rsid w:val="00B640AD"/>
    <w:rsid w:val="00B64741"/>
    <w:rsid w:val="00B668FA"/>
    <w:rsid w:val="00B70FE9"/>
    <w:rsid w:val="00B7288B"/>
    <w:rsid w:val="00B76BAA"/>
    <w:rsid w:val="00B77753"/>
    <w:rsid w:val="00B83F73"/>
    <w:rsid w:val="00B858E2"/>
    <w:rsid w:val="00B92878"/>
    <w:rsid w:val="00B92D46"/>
    <w:rsid w:val="00B933DD"/>
    <w:rsid w:val="00B9476F"/>
    <w:rsid w:val="00B94B27"/>
    <w:rsid w:val="00B97702"/>
    <w:rsid w:val="00BA28D0"/>
    <w:rsid w:val="00BA53F9"/>
    <w:rsid w:val="00BA591A"/>
    <w:rsid w:val="00BA759C"/>
    <w:rsid w:val="00BA7E0E"/>
    <w:rsid w:val="00BA7EED"/>
    <w:rsid w:val="00BB20EA"/>
    <w:rsid w:val="00BB2C81"/>
    <w:rsid w:val="00BB33A3"/>
    <w:rsid w:val="00BB5B7E"/>
    <w:rsid w:val="00BB5E22"/>
    <w:rsid w:val="00BB7DC4"/>
    <w:rsid w:val="00BC1B8F"/>
    <w:rsid w:val="00BC2680"/>
    <w:rsid w:val="00BC4D22"/>
    <w:rsid w:val="00BC6A37"/>
    <w:rsid w:val="00BC7597"/>
    <w:rsid w:val="00BD0942"/>
    <w:rsid w:val="00BD0FB0"/>
    <w:rsid w:val="00BD1546"/>
    <w:rsid w:val="00BD3592"/>
    <w:rsid w:val="00BD3694"/>
    <w:rsid w:val="00BD3771"/>
    <w:rsid w:val="00BD571D"/>
    <w:rsid w:val="00BE0A1E"/>
    <w:rsid w:val="00BE1BD2"/>
    <w:rsid w:val="00BE5054"/>
    <w:rsid w:val="00BF19C6"/>
    <w:rsid w:val="00BF3DDB"/>
    <w:rsid w:val="00BF5B22"/>
    <w:rsid w:val="00BF677D"/>
    <w:rsid w:val="00BF7EF8"/>
    <w:rsid w:val="00C0030A"/>
    <w:rsid w:val="00C0569F"/>
    <w:rsid w:val="00C11647"/>
    <w:rsid w:val="00C11735"/>
    <w:rsid w:val="00C11D7B"/>
    <w:rsid w:val="00C15135"/>
    <w:rsid w:val="00C17F4D"/>
    <w:rsid w:val="00C22747"/>
    <w:rsid w:val="00C23E98"/>
    <w:rsid w:val="00C24734"/>
    <w:rsid w:val="00C24AE6"/>
    <w:rsid w:val="00C25B25"/>
    <w:rsid w:val="00C31D7F"/>
    <w:rsid w:val="00C33C47"/>
    <w:rsid w:val="00C34580"/>
    <w:rsid w:val="00C4202D"/>
    <w:rsid w:val="00C4335E"/>
    <w:rsid w:val="00C44D22"/>
    <w:rsid w:val="00C47305"/>
    <w:rsid w:val="00C51FF7"/>
    <w:rsid w:val="00C52CF8"/>
    <w:rsid w:val="00C54C24"/>
    <w:rsid w:val="00C56FE7"/>
    <w:rsid w:val="00C5773B"/>
    <w:rsid w:val="00C57F3D"/>
    <w:rsid w:val="00C60172"/>
    <w:rsid w:val="00C636F7"/>
    <w:rsid w:val="00C65C22"/>
    <w:rsid w:val="00C65DFD"/>
    <w:rsid w:val="00C668DB"/>
    <w:rsid w:val="00C70AFC"/>
    <w:rsid w:val="00C7199C"/>
    <w:rsid w:val="00C74276"/>
    <w:rsid w:val="00C74F2F"/>
    <w:rsid w:val="00C80E66"/>
    <w:rsid w:val="00C8570F"/>
    <w:rsid w:val="00C863F1"/>
    <w:rsid w:val="00C87448"/>
    <w:rsid w:val="00C90200"/>
    <w:rsid w:val="00C94328"/>
    <w:rsid w:val="00C945B5"/>
    <w:rsid w:val="00C94A60"/>
    <w:rsid w:val="00CA0510"/>
    <w:rsid w:val="00CA456C"/>
    <w:rsid w:val="00CA55C7"/>
    <w:rsid w:val="00CA7988"/>
    <w:rsid w:val="00CB5438"/>
    <w:rsid w:val="00CB7DDE"/>
    <w:rsid w:val="00CB7E6E"/>
    <w:rsid w:val="00CC0CCA"/>
    <w:rsid w:val="00CD1CD2"/>
    <w:rsid w:val="00CD453E"/>
    <w:rsid w:val="00CE487E"/>
    <w:rsid w:val="00CE6DCB"/>
    <w:rsid w:val="00CE7C39"/>
    <w:rsid w:val="00CF0CA3"/>
    <w:rsid w:val="00CF14D4"/>
    <w:rsid w:val="00CF76EE"/>
    <w:rsid w:val="00D05DF4"/>
    <w:rsid w:val="00D07F04"/>
    <w:rsid w:val="00D1216A"/>
    <w:rsid w:val="00D1791A"/>
    <w:rsid w:val="00D213BA"/>
    <w:rsid w:val="00D225F8"/>
    <w:rsid w:val="00D26A29"/>
    <w:rsid w:val="00D26C56"/>
    <w:rsid w:val="00D27605"/>
    <w:rsid w:val="00D349CE"/>
    <w:rsid w:val="00D357A3"/>
    <w:rsid w:val="00D459AF"/>
    <w:rsid w:val="00D468FF"/>
    <w:rsid w:val="00D51D9D"/>
    <w:rsid w:val="00D5297A"/>
    <w:rsid w:val="00D53AA7"/>
    <w:rsid w:val="00D546FE"/>
    <w:rsid w:val="00D56813"/>
    <w:rsid w:val="00D6093D"/>
    <w:rsid w:val="00D6278A"/>
    <w:rsid w:val="00D66C75"/>
    <w:rsid w:val="00D6738D"/>
    <w:rsid w:val="00D73836"/>
    <w:rsid w:val="00D75A2B"/>
    <w:rsid w:val="00D93245"/>
    <w:rsid w:val="00D93611"/>
    <w:rsid w:val="00D95CCC"/>
    <w:rsid w:val="00D972E6"/>
    <w:rsid w:val="00DA2AD5"/>
    <w:rsid w:val="00DA42AF"/>
    <w:rsid w:val="00DA74EF"/>
    <w:rsid w:val="00DB0278"/>
    <w:rsid w:val="00DB08C3"/>
    <w:rsid w:val="00DB3191"/>
    <w:rsid w:val="00DB467F"/>
    <w:rsid w:val="00DB4B28"/>
    <w:rsid w:val="00DC07FD"/>
    <w:rsid w:val="00DC27E1"/>
    <w:rsid w:val="00DC7A66"/>
    <w:rsid w:val="00DD3741"/>
    <w:rsid w:val="00DD4C5D"/>
    <w:rsid w:val="00DE2808"/>
    <w:rsid w:val="00DE3471"/>
    <w:rsid w:val="00DE5731"/>
    <w:rsid w:val="00DE72D0"/>
    <w:rsid w:val="00DF36F7"/>
    <w:rsid w:val="00DF4318"/>
    <w:rsid w:val="00DF6B47"/>
    <w:rsid w:val="00DF6D36"/>
    <w:rsid w:val="00E000C9"/>
    <w:rsid w:val="00E03045"/>
    <w:rsid w:val="00E05448"/>
    <w:rsid w:val="00E143F3"/>
    <w:rsid w:val="00E14FF6"/>
    <w:rsid w:val="00E20A85"/>
    <w:rsid w:val="00E223A3"/>
    <w:rsid w:val="00E24353"/>
    <w:rsid w:val="00E33759"/>
    <w:rsid w:val="00E362A1"/>
    <w:rsid w:val="00E43645"/>
    <w:rsid w:val="00E441A3"/>
    <w:rsid w:val="00E5033C"/>
    <w:rsid w:val="00E5105E"/>
    <w:rsid w:val="00E519E7"/>
    <w:rsid w:val="00E539E5"/>
    <w:rsid w:val="00E557B8"/>
    <w:rsid w:val="00E604B6"/>
    <w:rsid w:val="00E66B92"/>
    <w:rsid w:val="00E72A67"/>
    <w:rsid w:val="00E73ED7"/>
    <w:rsid w:val="00E750DA"/>
    <w:rsid w:val="00E76C9D"/>
    <w:rsid w:val="00E848A2"/>
    <w:rsid w:val="00E84D09"/>
    <w:rsid w:val="00E8640B"/>
    <w:rsid w:val="00E91AFE"/>
    <w:rsid w:val="00E92E40"/>
    <w:rsid w:val="00E94E48"/>
    <w:rsid w:val="00E96989"/>
    <w:rsid w:val="00EA2201"/>
    <w:rsid w:val="00EA4193"/>
    <w:rsid w:val="00EA4440"/>
    <w:rsid w:val="00EA4F05"/>
    <w:rsid w:val="00EB1D01"/>
    <w:rsid w:val="00EB2C64"/>
    <w:rsid w:val="00EB455E"/>
    <w:rsid w:val="00EC095D"/>
    <w:rsid w:val="00EC3AD2"/>
    <w:rsid w:val="00EC60E9"/>
    <w:rsid w:val="00ED3D88"/>
    <w:rsid w:val="00ED78F1"/>
    <w:rsid w:val="00EE05D8"/>
    <w:rsid w:val="00EE2086"/>
    <w:rsid w:val="00EE69E8"/>
    <w:rsid w:val="00F03727"/>
    <w:rsid w:val="00F04492"/>
    <w:rsid w:val="00F061B1"/>
    <w:rsid w:val="00F12D04"/>
    <w:rsid w:val="00F13A7A"/>
    <w:rsid w:val="00F1531E"/>
    <w:rsid w:val="00F2021D"/>
    <w:rsid w:val="00F25724"/>
    <w:rsid w:val="00F27FA9"/>
    <w:rsid w:val="00F31E12"/>
    <w:rsid w:val="00F32177"/>
    <w:rsid w:val="00F4368F"/>
    <w:rsid w:val="00F4467A"/>
    <w:rsid w:val="00F45439"/>
    <w:rsid w:val="00F45FDD"/>
    <w:rsid w:val="00F47037"/>
    <w:rsid w:val="00F4767A"/>
    <w:rsid w:val="00F50835"/>
    <w:rsid w:val="00F52B64"/>
    <w:rsid w:val="00F54BC4"/>
    <w:rsid w:val="00F558D9"/>
    <w:rsid w:val="00F64486"/>
    <w:rsid w:val="00F66677"/>
    <w:rsid w:val="00F678CD"/>
    <w:rsid w:val="00F71275"/>
    <w:rsid w:val="00F71691"/>
    <w:rsid w:val="00F731AB"/>
    <w:rsid w:val="00F733D6"/>
    <w:rsid w:val="00F75B93"/>
    <w:rsid w:val="00F76AA9"/>
    <w:rsid w:val="00F773E3"/>
    <w:rsid w:val="00F777A3"/>
    <w:rsid w:val="00F80080"/>
    <w:rsid w:val="00F81C95"/>
    <w:rsid w:val="00F82706"/>
    <w:rsid w:val="00F82AE6"/>
    <w:rsid w:val="00F82C6A"/>
    <w:rsid w:val="00F83436"/>
    <w:rsid w:val="00F83639"/>
    <w:rsid w:val="00F90A30"/>
    <w:rsid w:val="00F917AC"/>
    <w:rsid w:val="00F9216F"/>
    <w:rsid w:val="00F92302"/>
    <w:rsid w:val="00F9444C"/>
    <w:rsid w:val="00F94A64"/>
    <w:rsid w:val="00F94AFC"/>
    <w:rsid w:val="00F969A5"/>
    <w:rsid w:val="00FA156B"/>
    <w:rsid w:val="00FA228D"/>
    <w:rsid w:val="00FA241C"/>
    <w:rsid w:val="00FA4A8E"/>
    <w:rsid w:val="00FA6D1E"/>
    <w:rsid w:val="00FA73F7"/>
    <w:rsid w:val="00FB04BF"/>
    <w:rsid w:val="00FB250C"/>
    <w:rsid w:val="00FB3C14"/>
    <w:rsid w:val="00FB4DCC"/>
    <w:rsid w:val="00FC05E9"/>
    <w:rsid w:val="00FC3C08"/>
    <w:rsid w:val="00FD1D5A"/>
    <w:rsid w:val="00FD35DE"/>
    <w:rsid w:val="00FD7073"/>
    <w:rsid w:val="00FE1B5D"/>
    <w:rsid w:val="00FE45BF"/>
    <w:rsid w:val="00FE5460"/>
    <w:rsid w:val="00FE6ABD"/>
    <w:rsid w:val="00FF1E7B"/>
    <w:rsid w:val="00FF4D1D"/>
    <w:rsid w:val="00FF78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6B"/>
    <w:pPr>
      <w:ind w:left="720"/>
      <w:contextualSpacing/>
    </w:pPr>
  </w:style>
  <w:style w:type="paragraph" w:customStyle="1" w:styleId="Default">
    <w:name w:val="Default"/>
    <w:rsid w:val="008D1A3E"/>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820213"/>
    <w:rPr>
      <w:color w:val="0000FF" w:themeColor="hyperlink"/>
      <w:u w:val="single"/>
    </w:rPr>
  </w:style>
  <w:style w:type="paragraph" w:styleId="FootnoteText">
    <w:name w:val="footnote text"/>
    <w:basedOn w:val="Normal"/>
    <w:link w:val="FootnoteTextChar"/>
    <w:uiPriority w:val="99"/>
    <w:semiHidden/>
    <w:unhideWhenUsed/>
    <w:rsid w:val="004C7E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7E38"/>
    <w:rPr>
      <w:sz w:val="20"/>
      <w:szCs w:val="20"/>
    </w:rPr>
  </w:style>
  <w:style w:type="character" w:styleId="FootnoteReference">
    <w:name w:val="footnote reference"/>
    <w:basedOn w:val="DefaultParagraphFont"/>
    <w:uiPriority w:val="99"/>
    <w:semiHidden/>
    <w:unhideWhenUsed/>
    <w:rsid w:val="004C7E38"/>
    <w:rPr>
      <w:vertAlign w:val="superscript"/>
    </w:rPr>
  </w:style>
  <w:style w:type="paragraph" w:styleId="NormalWeb">
    <w:name w:val="Normal (Web)"/>
    <w:basedOn w:val="Normal"/>
    <w:uiPriority w:val="99"/>
    <w:semiHidden/>
    <w:unhideWhenUsed/>
    <w:rsid w:val="00B668F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668FA"/>
    <w:rPr>
      <w:b/>
      <w:bCs/>
    </w:rPr>
  </w:style>
  <w:style w:type="paragraph" w:styleId="HTMLPreformatted">
    <w:name w:val="HTML Preformatted"/>
    <w:basedOn w:val="Normal"/>
    <w:link w:val="HTMLPreformattedChar"/>
    <w:uiPriority w:val="99"/>
    <w:semiHidden/>
    <w:unhideWhenUsed/>
    <w:rsid w:val="00B668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668FA"/>
    <w:rPr>
      <w:rFonts w:ascii="Courier New" w:eastAsia="Times New Roman" w:hAnsi="Courier New" w:cs="Courier New"/>
      <w:sz w:val="20"/>
      <w:szCs w:val="20"/>
      <w:lang w:val="en-US"/>
    </w:rPr>
  </w:style>
  <w:style w:type="paragraph" w:styleId="BalloonText">
    <w:name w:val="Balloon Text"/>
    <w:basedOn w:val="Normal"/>
    <w:link w:val="BalloonTextChar"/>
    <w:uiPriority w:val="99"/>
    <w:semiHidden/>
    <w:unhideWhenUsed/>
    <w:rsid w:val="00064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1A2"/>
    <w:rPr>
      <w:rFonts w:ascii="Tahoma" w:hAnsi="Tahoma" w:cs="Tahoma"/>
      <w:sz w:val="16"/>
      <w:szCs w:val="16"/>
    </w:rPr>
  </w:style>
  <w:style w:type="paragraph" w:styleId="Header">
    <w:name w:val="header"/>
    <w:basedOn w:val="Normal"/>
    <w:link w:val="HeaderChar"/>
    <w:uiPriority w:val="99"/>
    <w:unhideWhenUsed/>
    <w:rsid w:val="006C78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843"/>
  </w:style>
  <w:style w:type="paragraph" w:styleId="Footer">
    <w:name w:val="footer"/>
    <w:basedOn w:val="Normal"/>
    <w:link w:val="FooterChar"/>
    <w:uiPriority w:val="99"/>
    <w:unhideWhenUsed/>
    <w:rsid w:val="006C78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843"/>
  </w:style>
</w:styles>
</file>

<file path=word/webSettings.xml><?xml version="1.0" encoding="utf-8"?>
<w:webSettings xmlns:r="http://schemas.openxmlformats.org/officeDocument/2006/relationships" xmlns:w="http://schemas.openxmlformats.org/wordprocessingml/2006/main">
  <w:divs>
    <w:div w:id="1120104178">
      <w:bodyDiv w:val="1"/>
      <w:marLeft w:val="0"/>
      <w:marRight w:val="0"/>
      <w:marTop w:val="0"/>
      <w:marBottom w:val="0"/>
      <w:divBdr>
        <w:top w:val="none" w:sz="0" w:space="0" w:color="auto"/>
        <w:left w:val="none" w:sz="0" w:space="0" w:color="auto"/>
        <w:bottom w:val="none" w:sz="0" w:space="0" w:color="auto"/>
        <w:right w:val="none" w:sz="0" w:space="0" w:color="auto"/>
      </w:divBdr>
    </w:div>
    <w:div w:id="1165710069">
      <w:bodyDiv w:val="1"/>
      <w:marLeft w:val="0"/>
      <w:marRight w:val="0"/>
      <w:marTop w:val="0"/>
      <w:marBottom w:val="0"/>
      <w:divBdr>
        <w:top w:val="none" w:sz="0" w:space="0" w:color="auto"/>
        <w:left w:val="none" w:sz="0" w:space="0" w:color="auto"/>
        <w:bottom w:val="none" w:sz="0" w:space="0" w:color="auto"/>
        <w:right w:val="none" w:sz="0" w:space="0" w:color="auto"/>
      </w:divBdr>
    </w:div>
    <w:div w:id="152779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treetyoga.org/wp-content/uploads/2014/03/Ryther-Pilot-Study-March-2014.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bile.williamwhitepapers.com//pr/2002AlcoholProblemsinNativeAmerica.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uprisingyoga.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uwaterloo.ca/canadian-student-tobacco-alcohol-drugs-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C7F7AE8-FDBF-44A4-B1FB-4F9B310F6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36</Pages>
  <Words>17445</Words>
  <Characters>99442</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Tru</vt:lpstr>
    </vt:vector>
  </TitlesOfParts>
  <Company>Hewlett-Packard</Company>
  <LinksUpToDate>false</LinksUpToDate>
  <CharactersWithSpaces>116654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dc:title>
  <dc:creator>HP</dc:creator>
  <cp:lastModifiedBy>Susan Chambers</cp:lastModifiedBy>
  <cp:revision>15</cp:revision>
  <cp:lastPrinted>2016-10-14T17:32:00Z</cp:lastPrinted>
  <dcterms:created xsi:type="dcterms:W3CDTF">2016-10-03T19:09:00Z</dcterms:created>
  <dcterms:modified xsi:type="dcterms:W3CDTF">2016-10-15T00:05:00Z</dcterms:modified>
</cp:coreProperties>
</file>